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131" w:rsidRPr="00F16D61" w:rsidRDefault="00934131" w:rsidP="00934131">
      <w:pPr>
        <w:rPr>
          <w:b/>
          <w:color w:val="7030A0"/>
          <w:sz w:val="28"/>
        </w:rPr>
      </w:pPr>
      <w:bookmarkStart w:id="0" w:name="_GoBack"/>
      <w:bookmarkEnd w:id="0"/>
      <w:r w:rsidRPr="00934131">
        <w:rPr>
          <w:b/>
          <w:color w:val="7030A0"/>
          <w:sz w:val="28"/>
        </w:rPr>
        <w:t xml:space="preserve">GP attitudes and practices relating to the provision of medical evidence as part of the </w:t>
      </w:r>
      <w:r w:rsidR="00F16D61">
        <w:rPr>
          <w:b/>
          <w:color w:val="7030A0"/>
          <w:sz w:val="28"/>
        </w:rPr>
        <w:t>Employment and Support Allowance (</w:t>
      </w:r>
      <w:r w:rsidRPr="00934131">
        <w:rPr>
          <w:b/>
          <w:color w:val="7030A0"/>
          <w:sz w:val="28"/>
        </w:rPr>
        <w:t>ESA</w:t>
      </w:r>
      <w:r w:rsidR="00F16D61">
        <w:rPr>
          <w:b/>
          <w:color w:val="7030A0"/>
          <w:sz w:val="28"/>
        </w:rPr>
        <w:t>)</w:t>
      </w:r>
      <w:r w:rsidRPr="00934131">
        <w:rPr>
          <w:b/>
          <w:color w:val="7030A0"/>
          <w:sz w:val="28"/>
        </w:rPr>
        <w:t xml:space="preserve"> claim process</w:t>
      </w:r>
    </w:p>
    <w:p w:rsidR="00934131" w:rsidRDefault="00934131" w:rsidP="00934131"/>
    <w:p w:rsidR="00934131" w:rsidRPr="00934131" w:rsidRDefault="00934131" w:rsidP="00934131">
      <w:pPr>
        <w:rPr>
          <w:b/>
          <w:color w:val="7030A0"/>
          <w:sz w:val="24"/>
        </w:rPr>
      </w:pPr>
      <w:r w:rsidRPr="00934131">
        <w:rPr>
          <w:b/>
          <w:color w:val="7030A0"/>
          <w:sz w:val="24"/>
        </w:rPr>
        <w:t>Background</w:t>
      </w:r>
    </w:p>
    <w:p w:rsidR="00934131" w:rsidRDefault="00492C84" w:rsidP="00934131">
      <w:r>
        <w:t>CAB</w:t>
      </w:r>
      <w:r w:rsidR="00B12972">
        <w:t xml:space="preserve"> advise</w:t>
      </w:r>
      <w:r>
        <w:t xml:space="preserve">rs know it’s more likely the Department for Work and Pensions (DWP) will make the </w:t>
      </w:r>
      <w:r w:rsidR="005F6C79">
        <w:t>right</w:t>
      </w:r>
      <w:r>
        <w:t xml:space="preserve"> decision on whether someone is fit for work if substantial</w:t>
      </w:r>
      <w:r w:rsidR="00934131">
        <w:t xml:space="preserve"> medical evidence </w:t>
      </w:r>
      <w:r w:rsidR="00B12972">
        <w:t xml:space="preserve">is </w:t>
      </w:r>
      <w:r w:rsidR="005F6C79">
        <w:t>collect</w:t>
      </w:r>
      <w:r>
        <w:t>ed</w:t>
      </w:r>
      <w:r w:rsidR="00934131">
        <w:t xml:space="preserve"> on a</w:t>
      </w:r>
      <w:r w:rsidR="00B12972">
        <w:t>n ESA</w:t>
      </w:r>
      <w:r w:rsidR="00934131">
        <w:t xml:space="preserve"> claim. However, this evidence is not always requested as standard by the DWP or Atos for each new claim</w:t>
      </w:r>
      <w:r w:rsidR="005F6C79">
        <w:t>. Where</w:t>
      </w:r>
      <w:r w:rsidR="00B12972">
        <w:t xml:space="preserve"> it</w:t>
      </w:r>
      <w:r w:rsidR="005F6C79">
        <w:t xml:space="preserve"> is,</w:t>
      </w:r>
      <w:r w:rsidR="00B12972">
        <w:t xml:space="preserve"> </w:t>
      </w:r>
      <w:r w:rsidR="005F6C79">
        <w:t xml:space="preserve">it </w:t>
      </w:r>
      <w:r w:rsidR="00B12972">
        <w:t xml:space="preserve">can be as basic as a copy of claimant medical records </w:t>
      </w:r>
      <w:r w:rsidR="005F6C79">
        <w:t>that</w:t>
      </w:r>
      <w:r w:rsidR="00B12972">
        <w:t xml:space="preserve"> may not highlight mental health issues or learning disabilities and may underestimate the impact of illness or disability on</w:t>
      </w:r>
      <w:r w:rsidR="005F6C79">
        <w:t xml:space="preserve"> someone’s</w:t>
      </w:r>
      <w:r w:rsidR="00B12972">
        <w:t xml:space="preserve"> ability to work.</w:t>
      </w:r>
    </w:p>
    <w:p w:rsidR="00934131" w:rsidRDefault="00934131" w:rsidP="00934131"/>
    <w:p w:rsidR="00934131" w:rsidRDefault="00934131" w:rsidP="00934131">
      <w:r>
        <w:t>Throughout the application process</w:t>
      </w:r>
      <w:r w:rsidR="000C2334">
        <w:t>,</w:t>
      </w:r>
      <w:r>
        <w:t xml:space="preserve"> claimants are encouraged to send in additional evidence from the health and social care pro</w:t>
      </w:r>
      <w:r w:rsidR="00F16D61">
        <w:t>fessional that knows them best.</w:t>
      </w:r>
      <w:r>
        <w:t xml:space="preserve"> There is</w:t>
      </w:r>
      <w:r w:rsidR="000C2334">
        <w:t>,</w:t>
      </w:r>
      <w:r>
        <w:t xml:space="preserve"> however</w:t>
      </w:r>
      <w:r w:rsidR="000C2334">
        <w:t>,</w:t>
      </w:r>
      <w:r>
        <w:t xml:space="preserve"> no </w:t>
      </w:r>
      <w:r w:rsidR="000C2334">
        <w:t>requirement</w:t>
      </w:r>
      <w:r>
        <w:t xml:space="preserve"> on GPs or other professionals to provide this information when it is requested by a pa</w:t>
      </w:r>
      <w:r w:rsidR="00F16D61">
        <w:t xml:space="preserve">tient. </w:t>
      </w:r>
      <w:r>
        <w:t>Some refuse to provide evidence while others charge people up to £12</w:t>
      </w:r>
      <w:r w:rsidR="000C2334">
        <w:t xml:space="preserve">5 for the medical evidence </w:t>
      </w:r>
      <w:r>
        <w:t>request</w:t>
      </w:r>
      <w:r w:rsidR="000C2334">
        <w:t>ed</w:t>
      </w:r>
      <w:r>
        <w:t>.</w:t>
      </w:r>
      <w:r w:rsidR="00B12972">
        <w:t xml:space="preserve"> This survey was carried out in order to examine the extent of this issue. </w:t>
      </w:r>
    </w:p>
    <w:p w:rsidR="00934131" w:rsidRDefault="00934131" w:rsidP="00934131"/>
    <w:p w:rsidR="00934131" w:rsidRPr="00934131" w:rsidRDefault="00934131" w:rsidP="00934131">
      <w:pPr>
        <w:rPr>
          <w:b/>
          <w:color w:val="7030A0"/>
          <w:sz w:val="24"/>
        </w:rPr>
      </w:pPr>
      <w:r w:rsidRPr="00934131">
        <w:rPr>
          <w:b/>
          <w:color w:val="7030A0"/>
          <w:sz w:val="24"/>
        </w:rPr>
        <w:t>Methodology</w:t>
      </w:r>
    </w:p>
    <w:p w:rsidR="00934131" w:rsidRDefault="009B11DD" w:rsidP="00934131">
      <w:r>
        <w:rPr>
          <w:noProof/>
        </w:rPr>
        <w:drawing>
          <wp:anchor distT="0" distB="0" distL="114300" distR="114300" simplePos="0" relativeHeight="251658240" behindDoc="1" locked="0" layoutInCell="1" allowOverlap="1" wp14:anchorId="4D94BCAC" wp14:editId="5E16E3EE">
            <wp:simplePos x="0" y="0"/>
            <wp:positionH relativeFrom="column">
              <wp:posOffset>2150745</wp:posOffset>
            </wp:positionH>
            <wp:positionV relativeFrom="paragraph">
              <wp:posOffset>57150</wp:posOffset>
            </wp:positionV>
            <wp:extent cx="3366135" cy="4434205"/>
            <wp:effectExtent l="0" t="0" r="5715" b="4445"/>
            <wp:wrapTight wrapText="bothSides">
              <wp:wrapPolygon edited="0">
                <wp:start x="0" y="0"/>
                <wp:lineTo x="0" y="21529"/>
                <wp:lineTo x="21514" y="21529"/>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4682" r="1634" b="2260"/>
                    <a:stretch/>
                  </pic:blipFill>
                  <pic:spPr bwMode="auto">
                    <a:xfrm>
                      <a:off x="0" y="0"/>
                      <a:ext cx="3366135" cy="4434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4131">
        <w:t xml:space="preserve">Surveys were sent out in paper and digital formats </w:t>
      </w:r>
      <w:r w:rsidR="007866C7">
        <w:t>throughout</w:t>
      </w:r>
      <w:r w:rsidR="00934131">
        <w:t xml:space="preserve"> March and April 2014 by around 70 bureaux. All GPs in each area were targeted either directly or via a </w:t>
      </w:r>
      <w:r w:rsidR="00B4632F">
        <w:t>Clinical Commissioning Group or Local Medical Committee</w:t>
      </w:r>
      <w:r w:rsidR="00934131">
        <w:t>, with a letter explaining the purpose of the survey and a copy of the survey itself. Response rates were respectable but not high – ranging from 20-50</w:t>
      </w:r>
      <w:r w:rsidR="00F16D61">
        <w:t xml:space="preserve"> per cent of those targeted.</w:t>
      </w:r>
      <w:r w:rsidR="00934131">
        <w:t xml:space="preserve"> In total, 173 </w:t>
      </w:r>
      <w:r w:rsidR="007F7B28">
        <w:t xml:space="preserve">GP </w:t>
      </w:r>
      <w:r w:rsidR="00934131">
        <w:t>practices responded.</w:t>
      </w:r>
    </w:p>
    <w:p w:rsidR="00934131" w:rsidRDefault="00934131" w:rsidP="00934131"/>
    <w:p w:rsidR="00934131" w:rsidRPr="00934131" w:rsidRDefault="00934131" w:rsidP="00934131">
      <w:pPr>
        <w:rPr>
          <w:b/>
          <w:color w:val="7030A0"/>
          <w:sz w:val="24"/>
        </w:rPr>
      </w:pPr>
      <w:r w:rsidRPr="00934131">
        <w:rPr>
          <w:b/>
          <w:color w:val="7030A0"/>
          <w:sz w:val="24"/>
        </w:rPr>
        <w:t>Coverage</w:t>
      </w:r>
    </w:p>
    <w:p w:rsidR="00934131" w:rsidRDefault="00B12972" w:rsidP="00934131">
      <w:r>
        <w:t>The map on the right indicates the locations of surveyed GPs. It is colour coded by overall willingness to provide medical evidence</w:t>
      </w:r>
      <w:r>
        <w:rPr>
          <w:rStyle w:val="FootnoteReference"/>
        </w:rPr>
        <w:footnoteReference w:id="1"/>
      </w:r>
      <w:r>
        <w:t>.  These surgerie</w:t>
      </w:r>
      <w:r w:rsidR="00014C47">
        <w:t>s ranged from individual GPs (6 per cent</w:t>
      </w:r>
      <w:r>
        <w:t>) to multi-GP practices of more than five members (41</w:t>
      </w:r>
      <w:r w:rsidR="00014C47">
        <w:t xml:space="preserve"> per cent</w:t>
      </w:r>
      <w:r>
        <w:t xml:space="preserve">). In total they recorded a combined patient coverage of 1,258,564 people – an average of almost 9,000 per practice. </w:t>
      </w:r>
    </w:p>
    <w:p w:rsidR="005666F4" w:rsidRDefault="005666F4" w:rsidP="00934131"/>
    <w:p w:rsidR="00033E1E" w:rsidRPr="00934131" w:rsidRDefault="00033E1E" w:rsidP="00033E1E">
      <w:pPr>
        <w:rPr>
          <w:b/>
          <w:color w:val="7030A0"/>
          <w:sz w:val="24"/>
        </w:rPr>
      </w:pPr>
      <w:r w:rsidRPr="0073312F">
        <w:rPr>
          <w:noProof/>
        </w:rPr>
        <w:lastRenderedPageBreak/>
        <w:drawing>
          <wp:anchor distT="0" distB="0" distL="114300" distR="114300" simplePos="0" relativeHeight="251660288" behindDoc="1" locked="0" layoutInCell="1" allowOverlap="1" wp14:anchorId="62161281" wp14:editId="03D0BD94">
            <wp:simplePos x="0" y="0"/>
            <wp:positionH relativeFrom="column">
              <wp:posOffset>2408555</wp:posOffset>
            </wp:positionH>
            <wp:positionV relativeFrom="paragraph">
              <wp:posOffset>-33020</wp:posOffset>
            </wp:positionV>
            <wp:extent cx="2774950" cy="2926080"/>
            <wp:effectExtent l="38100" t="38100" r="101600" b="102870"/>
            <wp:wrapTight wrapText="bothSides">
              <wp:wrapPolygon edited="0">
                <wp:start x="0" y="-281"/>
                <wp:lineTo x="-297" y="-141"/>
                <wp:lineTo x="-297" y="21797"/>
                <wp:lineTo x="0" y="22219"/>
                <wp:lineTo x="21946" y="22219"/>
                <wp:lineTo x="22243" y="20250"/>
                <wp:lineTo x="22243" y="2109"/>
                <wp:lineTo x="21946" y="0"/>
                <wp:lineTo x="21946" y="-281"/>
                <wp:lineTo x="0" y="-281"/>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b/>
          <w:color w:val="7030A0"/>
          <w:sz w:val="24"/>
        </w:rPr>
        <w:t>Providing evidence</w:t>
      </w:r>
    </w:p>
    <w:p w:rsidR="00033E1E" w:rsidRDefault="00033E1E" w:rsidP="00934131">
      <w:pPr>
        <w:rPr>
          <w:b/>
        </w:rPr>
      </w:pPr>
    </w:p>
    <w:p w:rsidR="00033E1E" w:rsidRDefault="00F16D61" w:rsidP="00934131">
      <w:r>
        <w:t>29 per cent</w:t>
      </w:r>
      <w:r w:rsidR="00033E1E">
        <w:t xml:space="preserve"> of respondents did not provide medical evidence as standard to all patients. </w:t>
      </w:r>
      <w:r w:rsidR="006323E7">
        <w:t xml:space="preserve">The primary reasons given for </w:t>
      </w:r>
      <w:r>
        <w:t xml:space="preserve">declining some or all requests </w:t>
      </w:r>
      <w:r w:rsidR="006323E7">
        <w:t>were ‘lack of time’ and ‘don’t feel it is my job’.</w:t>
      </w:r>
    </w:p>
    <w:p w:rsidR="006323E7" w:rsidRPr="00033E1E" w:rsidRDefault="006323E7" w:rsidP="00934131"/>
    <w:p w:rsidR="00934131" w:rsidRPr="0073312F" w:rsidRDefault="00033E1E" w:rsidP="00934131">
      <w:pPr>
        <w:rPr>
          <w:b/>
        </w:rPr>
      </w:pPr>
      <w:r>
        <w:rPr>
          <w:b/>
        </w:rPr>
        <w:t xml:space="preserve">We asked: </w:t>
      </w:r>
      <w:r w:rsidR="00934131" w:rsidRPr="0073312F">
        <w:rPr>
          <w:b/>
        </w:rPr>
        <w:t>Please outline your reasons for declining requests for medical evidence from patients</w:t>
      </w:r>
      <w:r w:rsidR="0036088D">
        <w:rPr>
          <w:b/>
        </w:rPr>
        <w:t>:</w:t>
      </w:r>
    </w:p>
    <w:p w:rsidR="0073312F" w:rsidRPr="0036088D" w:rsidRDefault="00033E1E" w:rsidP="0036088D">
      <w:pPr>
        <w:pStyle w:val="ListParagraph"/>
        <w:numPr>
          <w:ilvl w:val="0"/>
          <w:numId w:val="13"/>
        </w:numPr>
        <w:rPr>
          <w:i/>
        </w:rPr>
      </w:pPr>
      <w:r>
        <w:rPr>
          <w:i/>
        </w:rPr>
        <w:t>V</w:t>
      </w:r>
      <w:r w:rsidR="0073312F" w:rsidRPr="00F641EE">
        <w:rPr>
          <w:i/>
        </w:rPr>
        <w:t xml:space="preserve">ery time consuming and no funding for service </w:t>
      </w:r>
      <w:r w:rsidR="0036088D">
        <w:rPr>
          <w:i/>
        </w:rPr>
        <w:t>–</w:t>
      </w:r>
      <w:r w:rsidR="0073312F" w:rsidRPr="0036088D">
        <w:rPr>
          <w:i/>
        </w:rPr>
        <w:t xml:space="preserve"> not covered by NHS</w:t>
      </w:r>
      <w:r w:rsidR="0036088D">
        <w:rPr>
          <w:i/>
        </w:rPr>
        <w:t>.</w:t>
      </w:r>
    </w:p>
    <w:p w:rsidR="0073312F" w:rsidRPr="00F641EE" w:rsidRDefault="00033E1E" w:rsidP="00F641EE">
      <w:pPr>
        <w:pStyle w:val="ListParagraph"/>
        <w:numPr>
          <w:ilvl w:val="0"/>
          <w:numId w:val="13"/>
        </w:numPr>
        <w:rPr>
          <w:i/>
        </w:rPr>
      </w:pPr>
      <w:r w:rsidRPr="0073312F">
        <w:rPr>
          <w:noProof/>
        </w:rPr>
        <w:drawing>
          <wp:anchor distT="0" distB="0" distL="114300" distR="114300" simplePos="0" relativeHeight="251662336" behindDoc="1" locked="0" layoutInCell="1" allowOverlap="1" wp14:anchorId="7A057AA7" wp14:editId="3F3F5918">
            <wp:simplePos x="0" y="0"/>
            <wp:positionH relativeFrom="column">
              <wp:posOffset>2406650</wp:posOffset>
            </wp:positionH>
            <wp:positionV relativeFrom="paragraph">
              <wp:posOffset>500380</wp:posOffset>
            </wp:positionV>
            <wp:extent cx="2774950" cy="2753360"/>
            <wp:effectExtent l="38100" t="38100" r="101600" b="104140"/>
            <wp:wrapTight wrapText="bothSides">
              <wp:wrapPolygon edited="0">
                <wp:start x="0" y="-299"/>
                <wp:lineTo x="-297" y="-149"/>
                <wp:lineTo x="-297" y="21819"/>
                <wp:lineTo x="0" y="22268"/>
                <wp:lineTo x="21946" y="22268"/>
                <wp:lineTo x="22243" y="21520"/>
                <wp:lineTo x="22243" y="2242"/>
                <wp:lineTo x="21946" y="0"/>
                <wp:lineTo x="21946" y="-299"/>
                <wp:lineTo x="0" y="-299"/>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73312F" w:rsidRPr="00F641EE">
        <w:rPr>
          <w:i/>
        </w:rPr>
        <w:t>We already work 13 hour days. We have already filled out the DWP forms, sick notes etc. To have to do it all over again to support a claim is ridiculous. Even if we charge for this service, we simply DO NOT have time. We've already provided the information.</w:t>
      </w:r>
    </w:p>
    <w:p w:rsidR="0073312F" w:rsidRDefault="0073312F" w:rsidP="00934131">
      <w:pPr>
        <w:rPr>
          <w:b/>
          <w:color w:val="7030A0"/>
          <w:sz w:val="24"/>
        </w:rPr>
      </w:pPr>
    </w:p>
    <w:p w:rsidR="00934131" w:rsidRPr="00934131" w:rsidRDefault="00934131" w:rsidP="00934131">
      <w:pPr>
        <w:rPr>
          <w:b/>
          <w:color w:val="7030A0"/>
          <w:sz w:val="24"/>
        </w:rPr>
      </w:pPr>
      <w:r w:rsidRPr="00934131">
        <w:rPr>
          <w:b/>
          <w:color w:val="7030A0"/>
          <w:sz w:val="24"/>
        </w:rPr>
        <w:t>Charges</w:t>
      </w:r>
    </w:p>
    <w:p w:rsidR="00934131" w:rsidRDefault="00934131" w:rsidP="00934131"/>
    <w:p w:rsidR="00934131" w:rsidRDefault="00320935" w:rsidP="00934131">
      <w:r>
        <w:rPr>
          <w:noProof/>
        </w:rPr>
        <w:drawing>
          <wp:anchor distT="0" distB="0" distL="114300" distR="114300" simplePos="0" relativeHeight="251663360" behindDoc="1" locked="0" layoutInCell="1" allowOverlap="1" wp14:anchorId="70675E4E" wp14:editId="4899DCD5">
            <wp:simplePos x="0" y="0"/>
            <wp:positionH relativeFrom="column">
              <wp:posOffset>2473325</wp:posOffset>
            </wp:positionH>
            <wp:positionV relativeFrom="paragraph">
              <wp:posOffset>1315085</wp:posOffset>
            </wp:positionV>
            <wp:extent cx="2700020" cy="2861310"/>
            <wp:effectExtent l="38100" t="38100" r="100330" b="91440"/>
            <wp:wrapTight wrapText="bothSides">
              <wp:wrapPolygon edited="0">
                <wp:start x="0" y="-288"/>
                <wp:lineTo x="-305" y="-144"/>
                <wp:lineTo x="-305" y="21715"/>
                <wp:lineTo x="0" y="22146"/>
                <wp:lineTo x="21945" y="22146"/>
                <wp:lineTo x="22250" y="20708"/>
                <wp:lineTo x="22250" y="2157"/>
                <wp:lineTo x="21945" y="0"/>
                <wp:lineTo x="21945" y="-288"/>
                <wp:lineTo x="0" y="-288"/>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26013C" w:rsidRPr="0026013C">
        <w:t>Our findin</w:t>
      </w:r>
      <w:r w:rsidR="00F16D61">
        <w:t>gs suggested that while only 15 per cent</w:t>
      </w:r>
      <w:r w:rsidR="0026013C" w:rsidRPr="0026013C">
        <w:t xml:space="preserve"> of GPs refus</w:t>
      </w:r>
      <w:r w:rsidR="00F16D61">
        <w:t>ed to provide evidence, over 70 per cent</w:t>
      </w:r>
      <w:r w:rsidR="0026013C" w:rsidRPr="0026013C">
        <w:t xml:space="preserve"> of those who would provide evidence charged for it in some or a</w:t>
      </w:r>
      <w:r w:rsidR="00F16D61">
        <w:t>ll cases. We also found that 47 per cent</w:t>
      </w:r>
      <w:r w:rsidR="0026013C" w:rsidRPr="0026013C">
        <w:t xml:space="preserve"> of respondents indicated that the practice played a key role in determining access to medical evidence</w:t>
      </w:r>
      <w:r w:rsidR="0036088D">
        <w:t xml:space="preserve"> – demonstrating</w:t>
      </w:r>
      <w:r w:rsidR="0026013C" w:rsidRPr="0026013C">
        <w:t xml:space="preserve"> a lack of consistency and the creation of a possible ‘postcode lottery’ in access to evidence.</w:t>
      </w:r>
    </w:p>
    <w:p w:rsidR="00934131" w:rsidRDefault="00934131" w:rsidP="00934131"/>
    <w:p w:rsidR="0087443D" w:rsidRPr="0073312F" w:rsidRDefault="00033E1E" w:rsidP="0087443D">
      <w:pPr>
        <w:rPr>
          <w:b/>
        </w:rPr>
      </w:pPr>
      <w:r>
        <w:rPr>
          <w:b/>
        </w:rPr>
        <w:t xml:space="preserve">We asked: </w:t>
      </w:r>
      <w:r w:rsidR="0087443D" w:rsidRPr="0073312F">
        <w:rPr>
          <w:b/>
        </w:rPr>
        <w:t>If you provide medical evidence for free to ‘some groups of patients’ and charge others, please outline your criteria for making this decision:</w:t>
      </w:r>
    </w:p>
    <w:p w:rsidR="0073312F" w:rsidRPr="00F641EE" w:rsidRDefault="0073312F" w:rsidP="00F641EE">
      <w:pPr>
        <w:pStyle w:val="ListParagraph"/>
        <w:numPr>
          <w:ilvl w:val="0"/>
          <w:numId w:val="11"/>
        </w:numPr>
        <w:rPr>
          <w:i/>
        </w:rPr>
      </w:pPr>
      <w:r w:rsidRPr="00F641EE">
        <w:rPr>
          <w:i/>
        </w:rPr>
        <w:t xml:space="preserve">We provide a basic print out of patient history and medication on request for no fee. We consider, but </w:t>
      </w:r>
      <w:proofErr w:type="gramStart"/>
      <w:r w:rsidRPr="00F641EE">
        <w:rPr>
          <w:i/>
        </w:rPr>
        <w:t>advise</w:t>
      </w:r>
      <w:proofErr w:type="gramEnd"/>
      <w:r w:rsidRPr="00F641EE">
        <w:rPr>
          <w:i/>
        </w:rPr>
        <w:t xml:space="preserve"> against the patient seeking additional or factual information for a </w:t>
      </w:r>
      <w:r w:rsidRPr="00F641EE">
        <w:rPr>
          <w:i/>
        </w:rPr>
        <w:lastRenderedPageBreak/>
        <w:t>nominal fee. We can only recover for a fee if required. In exceptional circumstances we provide additional information pro bono.</w:t>
      </w:r>
    </w:p>
    <w:p w:rsidR="0073312F" w:rsidRPr="00F641EE" w:rsidRDefault="00033E1E" w:rsidP="00F641EE">
      <w:pPr>
        <w:pStyle w:val="ListParagraph"/>
        <w:numPr>
          <w:ilvl w:val="0"/>
          <w:numId w:val="11"/>
        </w:numPr>
        <w:rPr>
          <w:i/>
        </w:rPr>
      </w:pPr>
      <w:r>
        <w:rPr>
          <w:i/>
        </w:rPr>
        <w:t>T</w:t>
      </w:r>
      <w:r w:rsidR="0073312F" w:rsidRPr="00F641EE">
        <w:rPr>
          <w:i/>
        </w:rPr>
        <w:t>he work is not NHS required we do not charge where we consider someone cannot currently afford to pay and would waive the standard fee</w:t>
      </w:r>
      <w:r w:rsidR="0036088D">
        <w:rPr>
          <w:i/>
        </w:rPr>
        <w:t>.</w:t>
      </w:r>
    </w:p>
    <w:p w:rsidR="0073312F" w:rsidRPr="00F641EE" w:rsidRDefault="0073312F" w:rsidP="00F641EE">
      <w:pPr>
        <w:pStyle w:val="ListParagraph"/>
        <w:numPr>
          <w:ilvl w:val="0"/>
          <w:numId w:val="11"/>
        </w:numPr>
        <w:rPr>
          <w:i/>
        </w:rPr>
      </w:pPr>
      <w:r w:rsidRPr="00F641EE">
        <w:rPr>
          <w:i/>
        </w:rPr>
        <w:t>If we provide a general print</w:t>
      </w:r>
      <w:r w:rsidR="0036088D">
        <w:rPr>
          <w:i/>
        </w:rPr>
        <w:t xml:space="preserve"> </w:t>
      </w:r>
      <w:r w:rsidRPr="00F641EE">
        <w:rPr>
          <w:i/>
        </w:rPr>
        <w:t>out (electronic) from the patient</w:t>
      </w:r>
      <w:r w:rsidR="0036088D">
        <w:rPr>
          <w:i/>
        </w:rPr>
        <w:t>’</w:t>
      </w:r>
      <w:r w:rsidRPr="00F641EE">
        <w:rPr>
          <w:i/>
        </w:rPr>
        <w:t>s notes</w:t>
      </w:r>
      <w:r w:rsidR="0036088D">
        <w:rPr>
          <w:i/>
        </w:rPr>
        <w:t xml:space="preserve"> </w:t>
      </w:r>
      <w:r w:rsidR="00004FB0">
        <w:rPr>
          <w:i/>
        </w:rPr>
        <w:t xml:space="preserve">, </w:t>
      </w:r>
      <w:r w:rsidR="0036088D">
        <w:rPr>
          <w:i/>
        </w:rPr>
        <w:t>which outlines their ‘active’</w:t>
      </w:r>
      <w:r w:rsidRPr="00F641EE">
        <w:rPr>
          <w:i/>
        </w:rPr>
        <w:t xml:space="preserve"> problems</w:t>
      </w:r>
      <w:r w:rsidR="0036088D">
        <w:rPr>
          <w:i/>
        </w:rPr>
        <w:t>,</w:t>
      </w:r>
      <w:r w:rsidRPr="00F641EE">
        <w:rPr>
          <w:i/>
        </w:rPr>
        <w:t xml:space="preserve"> we do not charge. If a doctor has to write a letter</w:t>
      </w:r>
      <w:r w:rsidR="0036088D">
        <w:rPr>
          <w:i/>
        </w:rPr>
        <w:t>,</w:t>
      </w:r>
      <w:r w:rsidRPr="00F641EE">
        <w:rPr>
          <w:i/>
        </w:rPr>
        <w:t xml:space="preserve"> we generally charge.</w:t>
      </w:r>
    </w:p>
    <w:p w:rsidR="0073312F" w:rsidRPr="00F641EE" w:rsidRDefault="0073312F" w:rsidP="00F641EE">
      <w:pPr>
        <w:pStyle w:val="ListParagraph"/>
        <w:numPr>
          <w:ilvl w:val="0"/>
          <w:numId w:val="11"/>
        </w:numPr>
        <w:rPr>
          <w:i/>
        </w:rPr>
      </w:pPr>
      <w:r w:rsidRPr="00F641EE">
        <w:rPr>
          <w:i/>
        </w:rPr>
        <w:t>The charge is for more detailed medical evidence. The evidence is provided when the patient is worth supporting.</w:t>
      </w:r>
    </w:p>
    <w:p w:rsidR="0073312F" w:rsidRPr="00F641EE" w:rsidRDefault="0073312F" w:rsidP="00F641EE">
      <w:pPr>
        <w:pStyle w:val="ListParagraph"/>
        <w:numPr>
          <w:ilvl w:val="0"/>
          <w:numId w:val="11"/>
        </w:numPr>
        <w:rPr>
          <w:i/>
        </w:rPr>
      </w:pPr>
      <w:r w:rsidRPr="00F641EE">
        <w:rPr>
          <w:i/>
        </w:rPr>
        <w:t>It might vary depending on the GPs relationshi</w:t>
      </w:r>
      <w:r w:rsidR="00F641EE">
        <w:rPr>
          <w:i/>
        </w:rPr>
        <w:t xml:space="preserve">p with the individual patient, </w:t>
      </w:r>
      <w:r w:rsidRPr="00F641EE">
        <w:rPr>
          <w:i/>
        </w:rPr>
        <w:t>perceived need, etc. It also might depend on how easy it</w:t>
      </w:r>
      <w:r w:rsidR="00004FB0">
        <w:rPr>
          <w:i/>
        </w:rPr>
        <w:t xml:space="preserve"> is to provide the information.</w:t>
      </w:r>
      <w:r w:rsidRPr="00F641EE">
        <w:rPr>
          <w:i/>
        </w:rPr>
        <w:t xml:space="preserve"> A straightforward summary print</w:t>
      </w:r>
      <w:r w:rsidR="00004FB0">
        <w:rPr>
          <w:i/>
        </w:rPr>
        <w:t xml:space="preserve"> </w:t>
      </w:r>
      <w:r w:rsidRPr="00F641EE">
        <w:rPr>
          <w:i/>
        </w:rPr>
        <w:t>out of electronic records can be produced with a few key strokes. The actual admin of invoi</w:t>
      </w:r>
      <w:r w:rsidR="00004FB0">
        <w:rPr>
          <w:i/>
        </w:rPr>
        <w:t>cing would probably take longer</w:t>
      </w:r>
      <w:r w:rsidRPr="00F641EE">
        <w:rPr>
          <w:i/>
        </w:rPr>
        <w:t xml:space="preserve">!  An ‘opinion’ will clearly take longer and may mean dictating/transcribing a reply. </w:t>
      </w:r>
    </w:p>
    <w:p w:rsidR="0026013C" w:rsidRDefault="0026013C" w:rsidP="0087443D">
      <w:pPr>
        <w:rPr>
          <w:b/>
        </w:rPr>
      </w:pPr>
    </w:p>
    <w:p w:rsidR="0087443D" w:rsidRPr="0073312F" w:rsidRDefault="00033E1E" w:rsidP="0087443D">
      <w:pPr>
        <w:rPr>
          <w:b/>
        </w:rPr>
      </w:pPr>
      <w:r>
        <w:rPr>
          <w:b/>
        </w:rPr>
        <w:t xml:space="preserve">We asked: </w:t>
      </w:r>
      <w:r w:rsidR="0087443D" w:rsidRPr="0073312F">
        <w:rPr>
          <w:b/>
        </w:rPr>
        <w:t xml:space="preserve">If you provide medical evidence for free to ‘some groups of patients’ and charge others, </w:t>
      </w:r>
      <w:r w:rsidR="00EA5987">
        <w:rPr>
          <w:b/>
        </w:rPr>
        <w:t>p</w:t>
      </w:r>
      <w:r w:rsidR="0087443D" w:rsidRPr="0073312F">
        <w:rPr>
          <w:b/>
        </w:rPr>
        <w:t>lease outline your reasons for this:</w:t>
      </w:r>
    </w:p>
    <w:p w:rsidR="0073312F" w:rsidRPr="00F641EE" w:rsidRDefault="0073312F" w:rsidP="00F641EE">
      <w:pPr>
        <w:pStyle w:val="ListParagraph"/>
        <w:numPr>
          <w:ilvl w:val="0"/>
          <w:numId w:val="12"/>
        </w:numPr>
        <w:rPr>
          <w:i/>
        </w:rPr>
      </w:pPr>
      <w:r w:rsidRPr="00F641EE">
        <w:rPr>
          <w:i/>
        </w:rPr>
        <w:t>We face (increase</w:t>
      </w:r>
      <w:r w:rsidR="00EA5987">
        <w:rPr>
          <w:i/>
        </w:rPr>
        <w:t>d) requests for non-funded, non-</w:t>
      </w:r>
      <w:r w:rsidRPr="00F641EE">
        <w:rPr>
          <w:i/>
        </w:rPr>
        <w:t>NHS work and have to practi</w:t>
      </w:r>
      <w:r w:rsidR="00EA5987">
        <w:rPr>
          <w:i/>
        </w:rPr>
        <w:t>s</w:t>
      </w:r>
      <w:r w:rsidRPr="00F641EE">
        <w:rPr>
          <w:i/>
        </w:rPr>
        <w:t>e pat</w:t>
      </w:r>
      <w:r w:rsidR="00EA5987">
        <w:rPr>
          <w:i/>
        </w:rPr>
        <w:t>i</w:t>
      </w:r>
      <w:r w:rsidRPr="00F641EE">
        <w:rPr>
          <w:i/>
        </w:rPr>
        <w:t>ent care over this discretionary work</w:t>
      </w:r>
      <w:r w:rsidR="00EA5987">
        <w:rPr>
          <w:i/>
        </w:rPr>
        <w:t>.</w:t>
      </w:r>
    </w:p>
    <w:p w:rsidR="0073312F" w:rsidRPr="00EA5987" w:rsidRDefault="00033E1E" w:rsidP="00EA5987">
      <w:pPr>
        <w:pStyle w:val="ListParagraph"/>
        <w:numPr>
          <w:ilvl w:val="0"/>
          <w:numId w:val="12"/>
        </w:numPr>
        <w:rPr>
          <w:i/>
        </w:rPr>
      </w:pPr>
      <w:r>
        <w:rPr>
          <w:i/>
        </w:rPr>
        <w:t>W</w:t>
      </w:r>
      <w:r w:rsidR="0073312F" w:rsidRPr="00F641EE">
        <w:rPr>
          <w:i/>
        </w:rPr>
        <w:t>e believe that having a doctor</w:t>
      </w:r>
      <w:r w:rsidR="00EA5987">
        <w:rPr>
          <w:i/>
        </w:rPr>
        <w:t>’</w:t>
      </w:r>
      <w:r w:rsidR="0073312F" w:rsidRPr="00F641EE">
        <w:rPr>
          <w:i/>
        </w:rPr>
        <w:t>s note counts for little, so ou</w:t>
      </w:r>
      <w:r w:rsidR="00EA5987">
        <w:rPr>
          <w:i/>
        </w:rPr>
        <w:t>r letters are a gesture usually –</w:t>
      </w:r>
      <w:r w:rsidR="0073312F" w:rsidRPr="00EA5987">
        <w:rPr>
          <w:i/>
        </w:rPr>
        <w:t xml:space="preserve"> short and factual</w:t>
      </w:r>
      <w:r w:rsidR="00EA5987">
        <w:rPr>
          <w:i/>
        </w:rPr>
        <w:t>,</w:t>
      </w:r>
      <w:r w:rsidR="0073312F" w:rsidRPr="00EA5987">
        <w:rPr>
          <w:i/>
        </w:rPr>
        <w:t xml:space="preserve"> bearing in mind we do not live with these patients</w:t>
      </w:r>
      <w:r w:rsidR="00EA5987">
        <w:rPr>
          <w:i/>
        </w:rPr>
        <w:t>.</w:t>
      </w:r>
    </w:p>
    <w:p w:rsidR="0073312F" w:rsidRPr="00F641EE" w:rsidRDefault="00EA5987" w:rsidP="00F641EE">
      <w:pPr>
        <w:pStyle w:val="ListParagraph"/>
        <w:numPr>
          <w:ilvl w:val="0"/>
          <w:numId w:val="12"/>
        </w:numPr>
        <w:rPr>
          <w:i/>
        </w:rPr>
      </w:pPr>
      <w:r>
        <w:rPr>
          <w:i/>
        </w:rPr>
        <w:t>Doctors</w:t>
      </w:r>
      <w:r w:rsidR="0073312F" w:rsidRPr="00F641EE">
        <w:rPr>
          <w:i/>
        </w:rPr>
        <w:t xml:space="preserve"> don</w:t>
      </w:r>
      <w:r>
        <w:rPr>
          <w:i/>
        </w:rPr>
        <w:t>’</w:t>
      </w:r>
      <w:r w:rsidR="0073312F" w:rsidRPr="00F641EE">
        <w:rPr>
          <w:i/>
        </w:rPr>
        <w:t>t like talking about money</w:t>
      </w:r>
      <w:r>
        <w:rPr>
          <w:i/>
        </w:rPr>
        <w:t xml:space="preserve"> E</w:t>
      </w:r>
      <w:r w:rsidR="0073312F" w:rsidRPr="00F641EE">
        <w:rPr>
          <w:i/>
        </w:rPr>
        <w:t xml:space="preserve">xpectation from </w:t>
      </w:r>
      <w:r w:rsidR="00033E1E" w:rsidRPr="00F641EE">
        <w:rPr>
          <w:i/>
        </w:rPr>
        <w:t>patients</w:t>
      </w:r>
      <w:r w:rsidR="0073312F" w:rsidRPr="00F641EE">
        <w:rPr>
          <w:i/>
        </w:rPr>
        <w:t xml:space="preserve"> is that this is free and a normal part of </w:t>
      </w:r>
      <w:r>
        <w:rPr>
          <w:i/>
        </w:rPr>
        <w:t>GP</w:t>
      </w:r>
      <w:r w:rsidR="0073312F" w:rsidRPr="00F641EE">
        <w:rPr>
          <w:i/>
        </w:rPr>
        <w:t xml:space="preserve"> </w:t>
      </w:r>
      <w:r>
        <w:rPr>
          <w:i/>
        </w:rPr>
        <w:t>workload.</w:t>
      </w:r>
    </w:p>
    <w:p w:rsidR="0073312F" w:rsidRPr="00F641EE" w:rsidRDefault="0073312F" w:rsidP="00F641EE">
      <w:pPr>
        <w:pStyle w:val="ListParagraph"/>
        <w:numPr>
          <w:ilvl w:val="0"/>
          <w:numId w:val="12"/>
        </w:numPr>
        <w:rPr>
          <w:i/>
        </w:rPr>
      </w:pPr>
      <w:r w:rsidRPr="00F641EE">
        <w:rPr>
          <w:i/>
        </w:rPr>
        <w:t>We do not wish to disadvantage vulnerable patients but do feel that work undertaken by GPs should be remunerated</w:t>
      </w:r>
      <w:r w:rsidR="00EA5987">
        <w:rPr>
          <w:i/>
        </w:rPr>
        <w:t>.</w:t>
      </w:r>
    </w:p>
    <w:p w:rsidR="0087443D" w:rsidRDefault="0087443D" w:rsidP="0087443D"/>
    <w:p w:rsidR="00934131" w:rsidRPr="0036088D" w:rsidRDefault="00033E1E" w:rsidP="00934131">
      <w:pPr>
        <w:rPr>
          <w:b/>
        </w:rPr>
      </w:pPr>
      <w:r>
        <w:rPr>
          <w:b/>
        </w:rPr>
        <w:t xml:space="preserve">We asked: </w:t>
      </w:r>
      <w:r w:rsidR="0087443D" w:rsidRPr="0026013C">
        <w:rPr>
          <w:b/>
        </w:rPr>
        <w:t>Please outline your reasons for setting this fee:</w:t>
      </w:r>
    </w:p>
    <w:p w:rsidR="0026013C" w:rsidRPr="006323E7" w:rsidRDefault="0026013C" w:rsidP="006323E7">
      <w:pPr>
        <w:pStyle w:val="ListParagraph"/>
        <w:numPr>
          <w:ilvl w:val="0"/>
          <w:numId w:val="14"/>
        </w:numPr>
        <w:rPr>
          <w:i/>
        </w:rPr>
      </w:pPr>
      <w:r w:rsidRPr="003E4FB3">
        <w:rPr>
          <w:i/>
        </w:rPr>
        <w:t xml:space="preserve">These fees are set by the partners using national guidance, research of local markets and analysis of </w:t>
      </w:r>
      <w:r w:rsidR="00EA5987">
        <w:rPr>
          <w:i/>
        </w:rPr>
        <w:t>p</w:t>
      </w:r>
      <w:r w:rsidRPr="003E4FB3">
        <w:rPr>
          <w:i/>
        </w:rPr>
        <w:t>ractice GP and administrative costs.</w:t>
      </w:r>
    </w:p>
    <w:p w:rsidR="0026013C" w:rsidRPr="00EA5987" w:rsidRDefault="00EA5987" w:rsidP="00EA5987">
      <w:pPr>
        <w:pStyle w:val="ListParagraph"/>
        <w:numPr>
          <w:ilvl w:val="0"/>
          <w:numId w:val="14"/>
        </w:numPr>
        <w:rPr>
          <w:i/>
        </w:rPr>
      </w:pPr>
      <w:r>
        <w:rPr>
          <w:i/>
        </w:rPr>
        <w:t>P</w:t>
      </w:r>
      <w:r w:rsidR="0026013C" w:rsidRPr="003E4FB3">
        <w:rPr>
          <w:i/>
        </w:rPr>
        <w:t xml:space="preserve">hotocopying costs </w:t>
      </w:r>
      <w:r>
        <w:rPr>
          <w:i/>
        </w:rPr>
        <w:t>–</w:t>
      </w:r>
      <w:r w:rsidR="0026013C" w:rsidRPr="00EA5987">
        <w:rPr>
          <w:i/>
        </w:rPr>
        <w:t xml:space="preserve"> can be waived depending on size and </w:t>
      </w:r>
      <w:r w:rsidR="006323E7" w:rsidRPr="00EA5987">
        <w:rPr>
          <w:i/>
        </w:rPr>
        <w:t>situation</w:t>
      </w:r>
      <w:r w:rsidRPr="00EA5987">
        <w:rPr>
          <w:i/>
        </w:rPr>
        <w:t>.</w:t>
      </w:r>
    </w:p>
    <w:p w:rsidR="0026013C" w:rsidRPr="003E4FB3" w:rsidRDefault="00EA5987" w:rsidP="003E4FB3">
      <w:pPr>
        <w:pStyle w:val="ListParagraph"/>
        <w:numPr>
          <w:ilvl w:val="0"/>
          <w:numId w:val="14"/>
        </w:numPr>
        <w:rPr>
          <w:i/>
        </w:rPr>
      </w:pPr>
      <w:r>
        <w:rPr>
          <w:i/>
        </w:rPr>
        <w:t>T</w:t>
      </w:r>
      <w:r w:rsidR="0026013C" w:rsidRPr="003E4FB3">
        <w:rPr>
          <w:i/>
        </w:rPr>
        <w:t>ime</w:t>
      </w:r>
      <w:r>
        <w:rPr>
          <w:i/>
        </w:rPr>
        <w:t>-</w:t>
      </w:r>
      <w:r w:rsidR="0026013C" w:rsidRPr="003E4FB3">
        <w:rPr>
          <w:i/>
        </w:rPr>
        <w:t>consuming for staff</w:t>
      </w:r>
      <w:r>
        <w:rPr>
          <w:i/>
        </w:rPr>
        <w:t>.</w:t>
      </w:r>
    </w:p>
    <w:p w:rsidR="0026013C" w:rsidRPr="00393B10" w:rsidRDefault="0026013C" w:rsidP="00393B10">
      <w:pPr>
        <w:pStyle w:val="ListParagraph"/>
        <w:numPr>
          <w:ilvl w:val="0"/>
          <w:numId w:val="14"/>
        </w:numPr>
        <w:rPr>
          <w:i/>
        </w:rPr>
      </w:pPr>
      <w:r w:rsidRPr="003E4FB3">
        <w:rPr>
          <w:i/>
        </w:rPr>
        <w:t>It</w:t>
      </w:r>
      <w:r w:rsidR="00393B10">
        <w:rPr>
          <w:i/>
        </w:rPr>
        <w:t>’</w:t>
      </w:r>
      <w:r w:rsidRPr="003E4FB3">
        <w:rPr>
          <w:i/>
        </w:rPr>
        <w:t>s private work</w:t>
      </w:r>
      <w:r w:rsidR="00393B10">
        <w:rPr>
          <w:i/>
        </w:rPr>
        <w:t xml:space="preserve"> –</w:t>
      </w:r>
      <w:r w:rsidRPr="00393B10">
        <w:rPr>
          <w:i/>
        </w:rPr>
        <w:t xml:space="preserve"> paper, scanner, toner, admin work. Half the time</w:t>
      </w:r>
      <w:r w:rsidR="00393B10">
        <w:rPr>
          <w:i/>
        </w:rPr>
        <w:t>,</w:t>
      </w:r>
      <w:r w:rsidRPr="00393B10">
        <w:rPr>
          <w:i/>
        </w:rPr>
        <w:t xml:space="preserve"> they're not collected from reception. If CAB </w:t>
      </w:r>
      <w:proofErr w:type="gramStart"/>
      <w:r w:rsidRPr="00393B10">
        <w:rPr>
          <w:i/>
        </w:rPr>
        <w:t>ask</w:t>
      </w:r>
      <w:proofErr w:type="gramEnd"/>
      <w:r w:rsidRPr="00393B10">
        <w:rPr>
          <w:i/>
        </w:rPr>
        <w:t xml:space="preserve"> for it</w:t>
      </w:r>
      <w:r w:rsidR="00393B10">
        <w:rPr>
          <w:i/>
        </w:rPr>
        <w:t>,</w:t>
      </w:r>
      <w:r w:rsidRPr="00393B10">
        <w:rPr>
          <w:i/>
        </w:rPr>
        <w:t xml:space="preserve"> </w:t>
      </w:r>
      <w:r w:rsidR="00393B10">
        <w:rPr>
          <w:i/>
        </w:rPr>
        <w:t>I</w:t>
      </w:r>
      <w:r w:rsidRPr="00393B10">
        <w:rPr>
          <w:i/>
        </w:rPr>
        <w:t>t</w:t>
      </w:r>
      <w:r w:rsidR="00393B10">
        <w:rPr>
          <w:i/>
        </w:rPr>
        <w:t>’</w:t>
      </w:r>
      <w:r w:rsidRPr="00393B10">
        <w:rPr>
          <w:i/>
        </w:rPr>
        <w:t>s free. Or BMA rates are used.</w:t>
      </w:r>
    </w:p>
    <w:p w:rsidR="0026013C" w:rsidRPr="003E4FB3" w:rsidRDefault="00393B10" w:rsidP="003E4FB3">
      <w:pPr>
        <w:pStyle w:val="ListParagraph"/>
        <w:numPr>
          <w:ilvl w:val="0"/>
          <w:numId w:val="14"/>
        </w:numPr>
        <w:rPr>
          <w:i/>
        </w:rPr>
      </w:pPr>
      <w:r>
        <w:rPr>
          <w:i/>
        </w:rPr>
        <w:t>C</w:t>
      </w:r>
      <w:r w:rsidR="0026013C" w:rsidRPr="003E4FB3">
        <w:rPr>
          <w:i/>
        </w:rPr>
        <w:t>ost of materials and time to</w:t>
      </w:r>
      <w:r>
        <w:rPr>
          <w:i/>
        </w:rPr>
        <w:t xml:space="preserve"> do this</w:t>
      </w:r>
      <w:r w:rsidR="0026013C" w:rsidRPr="003E4FB3">
        <w:rPr>
          <w:i/>
        </w:rPr>
        <w:t xml:space="preserve"> adds to practice pressures actually seeing patients</w:t>
      </w:r>
      <w:r>
        <w:rPr>
          <w:i/>
        </w:rPr>
        <w:t>.</w:t>
      </w:r>
    </w:p>
    <w:p w:rsidR="0026013C" w:rsidRPr="003E4FB3" w:rsidRDefault="00393B10" w:rsidP="003E4FB3">
      <w:pPr>
        <w:pStyle w:val="ListParagraph"/>
        <w:numPr>
          <w:ilvl w:val="0"/>
          <w:numId w:val="14"/>
        </w:numPr>
        <w:rPr>
          <w:i/>
        </w:rPr>
      </w:pPr>
      <w:r>
        <w:rPr>
          <w:i/>
        </w:rPr>
        <w:t>W</w:t>
      </w:r>
      <w:r w:rsidR="0026013C" w:rsidRPr="003E4FB3">
        <w:rPr>
          <w:i/>
        </w:rPr>
        <w:t>e regret having to charge pat</w:t>
      </w:r>
      <w:r>
        <w:rPr>
          <w:i/>
        </w:rPr>
        <w:t>i</w:t>
      </w:r>
      <w:r w:rsidR="0026013C" w:rsidRPr="003E4FB3">
        <w:rPr>
          <w:i/>
        </w:rPr>
        <w:t>ent</w:t>
      </w:r>
      <w:r>
        <w:rPr>
          <w:i/>
        </w:rPr>
        <w:t xml:space="preserve">s </w:t>
      </w:r>
      <w:r w:rsidR="0026013C" w:rsidRPr="003E4FB3">
        <w:rPr>
          <w:i/>
        </w:rPr>
        <w:t>who can least afford it any fee at all. The fee is to provide a disincentive to request information that is not really required.</w:t>
      </w:r>
    </w:p>
    <w:p w:rsidR="0026013C" w:rsidRPr="003E4FB3" w:rsidRDefault="0026013C" w:rsidP="003E4FB3">
      <w:pPr>
        <w:pStyle w:val="ListParagraph"/>
        <w:numPr>
          <w:ilvl w:val="0"/>
          <w:numId w:val="14"/>
        </w:numPr>
        <w:rPr>
          <w:i/>
        </w:rPr>
      </w:pPr>
      <w:r w:rsidRPr="003E4FB3">
        <w:rPr>
          <w:i/>
        </w:rPr>
        <w:t>Reflective of the time taken to assemble requested information, usually in the form of a meaningful and useful letter</w:t>
      </w:r>
      <w:r w:rsidR="00393B10">
        <w:rPr>
          <w:i/>
        </w:rPr>
        <w:t>.</w:t>
      </w:r>
    </w:p>
    <w:p w:rsidR="0026013C" w:rsidRPr="00393B10" w:rsidRDefault="00393B10" w:rsidP="00393B10">
      <w:pPr>
        <w:pStyle w:val="ListParagraph"/>
        <w:numPr>
          <w:ilvl w:val="0"/>
          <w:numId w:val="14"/>
        </w:numPr>
        <w:rPr>
          <w:i/>
        </w:rPr>
      </w:pPr>
      <w:r>
        <w:rPr>
          <w:i/>
        </w:rPr>
        <w:t xml:space="preserve">£15 – </w:t>
      </w:r>
      <w:r w:rsidR="0026013C" w:rsidRPr="00393B10">
        <w:rPr>
          <w:i/>
        </w:rPr>
        <w:t xml:space="preserve">£25, depending on the time taken for fixed costs and our time (stationery, printing </w:t>
      </w:r>
      <w:proofErr w:type="spellStart"/>
      <w:r w:rsidR="0026013C" w:rsidRPr="00393B10">
        <w:rPr>
          <w:i/>
        </w:rPr>
        <w:t>etc</w:t>
      </w:r>
      <w:proofErr w:type="spellEnd"/>
      <w:r w:rsidR="0026013C" w:rsidRPr="00393B10">
        <w:rPr>
          <w:i/>
        </w:rPr>
        <w:t>)</w:t>
      </w:r>
      <w:r w:rsidRPr="00393B10">
        <w:rPr>
          <w:i/>
        </w:rPr>
        <w:t>.</w:t>
      </w:r>
    </w:p>
    <w:p w:rsidR="0026013C" w:rsidRPr="003E4FB3" w:rsidRDefault="0026013C" w:rsidP="003E4FB3">
      <w:pPr>
        <w:pStyle w:val="ListParagraph"/>
        <w:numPr>
          <w:ilvl w:val="0"/>
          <w:numId w:val="14"/>
        </w:numPr>
        <w:rPr>
          <w:i/>
        </w:rPr>
      </w:pPr>
      <w:r w:rsidRPr="003E4FB3">
        <w:rPr>
          <w:i/>
        </w:rPr>
        <w:t>This is a non-NHS service. The number raised is a significant burden on the time of clinical and non-clinical staff. Also by setting a fee</w:t>
      </w:r>
      <w:r w:rsidR="00393B10">
        <w:rPr>
          <w:i/>
        </w:rPr>
        <w:t>,</w:t>
      </w:r>
      <w:r w:rsidRPr="003E4FB3">
        <w:rPr>
          <w:i/>
        </w:rPr>
        <w:t xml:space="preserve"> only people who really want to request. If free I would expect the number to quadruple!</w:t>
      </w:r>
    </w:p>
    <w:p w:rsidR="0026013C" w:rsidRPr="003E4FB3" w:rsidRDefault="0026013C" w:rsidP="003E4FB3">
      <w:pPr>
        <w:pStyle w:val="ListParagraph"/>
        <w:numPr>
          <w:ilvl w:val="0"/>
          <w:numId w:val="14"/>
        </w:numPr>
        <w:rPr>
          <w:i/>
        </w:rPr>
      </w:pPr>
      <w:r w:rsidRPr="003E4FB3">
        <w:rPr>
          <w:i/>
        </w:rPr>
        <w:t>Related to the amount of work involved</w:t>
      </w:r>
      <w:r w:rsidR="00393B10">
        <w:rPr>
          <w:i/>
        </w:rPr>
        <w:t>.</w:t>
      </w:r>
    </w:p>
    <w:p w:rsidR="0026013C" w:rsidRPr="003E4FB3" w:rsidRDefault="0026013C" w:rsidP="003E4FB3">
      <w:pPr>
        <w:pStyle w:val="ListParagraph"/>
        <w:numPr>
          <w:ilvl w:val="0"/>
          <w:numId w:val="14"/>
        </w:numPr>
        <w:rPr>
          <w:i/>
        </w:rPr>
      </w:pPr>
      <w:r w:rsidRPr="003E4FB3">
        <w:rPr>
          <w:i/>
        </w:rPr>
        <w:t>It is not GMS work. I</w:t>
      </w:r>
      <w:r w:rsidR="00393B10">
        <w:rPr>
          <w:i/>
        </w:rPr>
        <w:t>t takes time, GP and secretarial,</w:t>
      </w:r>
      <w:r w:rsidRPr="003E4FB3">
        <w:rPr>
          <w:i/>
        </w:rPr>
        <w:t xml:space="preserve"> and the GP is taking </w:t>
      </w:r>
      <w:r w:rsidR="006323E7" w:rsidRPr="003E4FB3">
        <w:rPr>
          <w:i/>
        </w:rPr>
        <w:t>responsibility</w:t>
      </w:r>
      <w:r w:rsidRPr="003E4FB3">
        <w:rPr>
          <w:i/>
        </w:rPr>
        <w:t xml:space="preserve"> for a statement they may have to defend in court. We usually charge £20. This is a bargain for some reports as they are often long and complex</w:t>
      </w:r>
      <w:r w:rsidR="00393B10">
        <w:rPr>
          <w:i/>
        </w:rPr>
        <w:t>.</w:t>
      </w:r>
    </w:p>
    <w:p w:rsidR="0026013C" w:rsidRPr="003E4FB3" w:rsidRDefault="0026013C" w:rsidP="003E4FB3">
      <w:pPr>
        <w:pStyle w:val="ListParagraph"/>
        <w:numPr>
          <w:ilvl w:val="0"/>
          <w:numId w:val="14"/>
        </w:numPr>
        <w:rPr>
          <w:i/>
        </w:rPr>
      </w:pPr>
      <w:r w:rsidRPr="003E4FB3">
        <w:rPr>
          <w:i/>
        </w:rPr>
        <w:lastRenderedPageBreak/>
        <w:t>Because we don't want to d</w:t>
      </w:r>
      <w:r w:rsidR="00393B10">
        <w:rPr>
          <w:i/>
        </w:rPr>
        <w:t>o this work. It is not NHS care. W</w:t>
      </w:r>
      <w:r w:rsidRPr="003E4FB3">
        <w:rPr>
          <w:i/>
        </w:rPr>
        <w:t>e have already provided the information and, yes, we do think quite a lot of the patients should be going to work.</w:t>
      </w:r>
    </w:p>
    <w:p w:rsidR="0026013C" w:rsidRPr="00393B10" w:rsidRDefault="0026013C" w:rsidP="00393B10">
      <w:pPr>
        <w:pStyle w:val="ListParagraph"/>
        <w:numPr>
          <w:ilvl w:val="0"/>
          <w:numId w:val="14"/>
        </w:numPr>
        <w:rPr>
          <w:i/>
        </w:rPr>
      </w:pPr>
      <w:r w:rsidRPr="003E4FB3">
        <w:rPr>
          <w:i/>
        </w:rPr>
        <w:t xml:space="preserve">£15 </w:t>
      </w:r>
      <w:r w:rsidR="00F16D61">
        <w:rPr>
          <w:i/>
        </w:rPr>
        <w:t>–</w:t>
      </w:r>
      <w:r w:rsidRPr="00F16D61">
        <w:rPr>
          <w:i/>
        </w:rPr>
        <w:t xml:space="preserve"> £25 depending on time </w:t>
      </w:r>
      <w:r w:rsidR="006323E7" w:rsidRPr="00F16D61">
        <w:rPr>
          <w:i/>
        </w:rPr>
        <w:t>taken</w:t>
      </w:r>
      <w:r w:rsidR="00393B10">
        <w:rPr>
          <w:i/>
        </w:rPr>
        <w:t xml:space="preserve"> for ... costs and out-</w:t>
      </w:r>
      <w:r w:rsidR="006323E7" w:rsidRPr="00F16D61">
        <w:rPr>
          <w:i/>
        </w:rPr>
        <w:t>time</w:t>
      </w:r>
      <w:r w:rsidRPr="00F16D61">
        <w:rPr>
          <w:i/>
        </w:rPr>
        <w:t xml:space="preserve"> </w:t>
      </w:r>
      <w:r w:rsidR="006323E7" w:rsidRPr="00F16D61">
        <w:rPr>
          <w:i/>
        </w:rPr>
        <w:t>cost</w:t>
      </w:r>
      <w:r w:rsidRPr="00F16D61">
        <w:rPr>
          <w:i/>
        </w:rPr>
        <w:t xml:space="preserve"> </w:t>
      </w:r>
      <w:r w:rsidR="00393B10">
        <w:rPr>
          <w:i/>
        </w:rPr>
        <w:t xml:space="preserve">– </w:t>
      </w:r>
      <w:r w:rsidRPr="00393B10">
        <w:rPr>
          <w:i/>
        </w:rPr>
        <w:t xml:space="preserve">stationary, </w:t>
      </w:r>
      <w:r w:rsidR="006323E7" w:rsidRPr="00393B10">
        <w:rPr>
          <w:i/>
        </w:rPr>
        <w:t>printing</w:t>
      </w:r>
      <w:r w:rsidR="00393B10">
        <w:rPr>
          <w:i/>
        </w:rPr>
        <w:t>.</w:t>
      </w:r>
      <w:r w:rsidRPr="00393B10">
        <w:rPr>
          <w:i/>
        </w:rPr>
        <w:t xml:space="preserve"> </w:t>
      </w:r>
    </w:p>
    <w:p w:rsidR="0026013C" w:rsidRPr="003E4FB3" w:rsidRDefault="0026013C" w:rsidP="003E4FB3">
      <w:pPr>
        <w:pStyle w:val="ListParagraph"/>
        <w:numPr>
          <w:ilvl w:val="0"/>
          <w:numId w:val="14"/>
        </w:numPr>
        <w:rPr>
          <w:i/>
        </w:rPr>
      </w:pPr>
      <w:r w:rsidRPr="003E4FB3">
        <w:rPr>
          <w:i/>
        </w:rPr>
        <w:t>Patients generally request a professional opinion rather than just factual medi</w:t>
      </w:r>
      <w:r w:rsidR="00F16D61">
        <w:rPr>
          <w:i/>
        </w:rPr>
        <w:t xml:space="preserve">cal details. </w:t>
      </w:r>
      <w:r w:rsidRPr="003E4FB3">
        <w:rPr>
          <w:i/>
        </w:rPr>
        <w:t>This is a private matter not funded by the NHS and as such we charge a fee to cover our time.</w:t>
      </w:r>
    </w:p>
    <w:p w:rsidR="00934131" w:rsidRPr="00393B10" w:rsidRDefault="0026013C" w:rsidP="00393B10">
      <w:pPr>
        <w:pStyle w:val="ListParagraph"/>
        <w:numPr>
          <w:ilvl w:val="0"/>
          <w:numId w:val="14"/>
        </w:numPr>
        <w:rPr>
          <w:i/>
        </w:rPr>
      </w:pPr>
      <w:r w:rsidRPr="003E4FB3">
        <w:rPr>
          <w:i/>
        </w:rPr>
        <w:t xml:space="preserve">We get many requests for information which is not always required by a third party </w:t>
      </w:r>
      <w:r w:rsidR="00393B10">
        <w:rPr>
          <w:i/>
        </w:rPr>
        <w:t>–</w:t>
      </w:r>
      <w:r w:rsidRPr="00393B10">
        <w:rPr>
          <w:i/>
        </w:rPr>
        <w:t xml:space="preserve"> we charge the fee for our time and administration of the task and to ensure that patients are committed to wanting this evidence.</w:t>
      </w:r>
    </w:p>
    <w:p w:rsidR="0026013C" w:rsidRDefault="0026013C" w:rsidP="0026013C"/>
    <w:p w:rsidR="00934131" w:rsidRPr="0087443D" w:rsidRDefault="0087443D" w:rsidP="00934131">
      <w:pPr>
        <w:rPr>
          <w:b/>
          <w:color w:val="7030A0"/>
          <w:sz w:val="28"/>
        </w:rPr>
      </w:pPr>
      <w:r w:rsidRPr="0087443D">
        <w:rPr>
          <w:b/>
          <w:color w:val="7030A0"/>
          <w:sz w:val="28"/>
        </w:rPr>
        <w:t>Types of evidence</w:t>
      </w:r>
    </w:p>
    <w:p w:rsidR="0026013C" w:rsidRDefault="0026013C" w:rsidP="00472D5C"/>
    <w:p w:rsidR="0026013C" w:rsidRPr="00472D5C" w:rsidRDefault="0026013C" w:rsidP="00472D5C">
      <w:r>
        <w:rPr>
          <w:noProof/>
        </w:rPr>
        <w:drawing>
          <wp:inline distT="0" distB="0" distL="0" distR="0" wp14:anchorId="4D8A2090" wp14:editId="47101BDD">
            <wp:extent cx="5152913" cy="3065930"/>
            <wp:effectExtent l="38100" t="38100" r="86360" b="965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55B9" w:rsidRPr="004655B9" w:rsidRDefault="004655B9" w:rsidP="004655B9">
      <w:pPr>
        <w:rPr>
          <w:sz w:val="28"/>
          <w:szCs w:val="28"/>
        </w:rPr>
      </w:pPr>
      <w:r>
        <w:br w:type="page"/>
      </w:r>
      <w:r w:rsidRPr="004655B9">
        <w:rPr>
          <w:b/>
          <w:color w:val="7030A0"/>
          <w:sz w:val="28"/>
          <w:szCs w:val="28"/>
        </w:rPr>
        <w:lastRenderedPageBreak/>
        <w:t xml:space="preserve">Demand </w:t>
      </w:r>
    </w:p>
    <w:p w:rsidR="004655B9" w:rsidRDefault="004655B9" w:rsidP="004655B9">
      <w:r>
        <w:t>The survey examined the breakdown of requests for medical evidence around ESA received by GPs over the past 12 months. These questions looked at the level of data collected by GPs on demand and whether the majority of evidence requests were made by the DWP or by claimants themselves. An average of 45 per cent of respondents did not hold information on these requests.</w:t>
      </w:r>
    </w:p>
    <w:p w:rsidR="004655B9" w:rsidRDefault="004655B9" w:rsidP="004655B9"/>
    <w:p w:rsidR="004655B9" w:rsidRDefault="009A6F8C" w:rsidP="004655B9">
      <w:r>
        <w:t xml:space="preserve">GP contracts mean they are obliged to provide evidence when requested by DWP </w:t>
      </w:r>
      <w:r w:rsidR="005666F4">
        <w:t>but not</w:t>
      </w:r>
      <w:r>
        <w:t xml:space="preserve"> when it is requested by a patient.  </w:t>
      </w:r>
    </w:p>
    <w:p w:rsidR="005666F4" w:rsidRDefault="005666F4" w:rsidP="004655B9"/>
    <w:p w:rsidR="004655B9" w:rsidRDefault="004655B9" w:rsidP="004655B9">
      <w:r>
        <w:rPr>
          <w:noProof/>
        </w:rPr>
        <w:drawing>
          <wp:inline distT="0" distB="0" distL="0" distR="0" wp14:anchorId="5938269E" wp14:editId="5A2E5191">
            <wp:extent cx="5271247" cy="2646382"/>
            <wp:effectExtent l="38100" t="38100" r="100965" b="971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55B9" w:rsidRPr="004655B9" w:rsidRDefault="004655B9" w:rsidP="004655B9">
      <w:pPr>
        <w:rPr>
          <w:b/>
          <w:color w:val="7030A0"/>
          <w:sz w:val="28"/>
          <w:szCs w:val="28"/>
        </w:rPr>
      </w:pPr>
      <w:r w:rsidRPr="004655B9">
        <w:rPr>
          <w:b/>
          <w:color w:val="7030A0"/>
          <w:sz w:val="28"/>
          <w:szCs w:val="28"/>
        </w:rPr>
        <w:t>Medical evidence policies</w:t>
      </w:r>
    </w:p>
    <w:p w:rsidR="004655B9" w:rsidRDefault="004655B9" w:rsidP="004655B9">
      <w:r>
        <w:t xml:space="preserve">Only 24 per cent of GP surgeries surveyed had an agreed, written policy on the provision of medical evidence to patients as part of the ESA Work Capability Assessment (WCA) process. Whether part of an agreed policy or not, GPs suggested that individual practices are the key decision-makers in determining if and how evidence is to be provided. There is little consensus around other stakeholders with the power to determine guidelines for medical evidence provision. </w:t>
      </w:r>
    </w:p>
    <w:p w:rsidR="004655B9" w:rsidRDefault="004655B9" w:rsidP="004655B9"/>
    <w:p w:rsidR="004655B9" w:rsidRDefault="004655B9" w:rsidP="004655B9">
      <w:r>
        <w:rPr>
          <w:noProof/>
        </w:rPr>
        <w:drawing>
          <wp:inline distT="0" distB="0" distL="0" distR="0" wp14:anchorId="3DFBFD2B" wp14:editId="072C3E21">
            <wp:extent cx="5206701" cy="2485016"/>
            <wp:effectExtent l="38100" t="38100" r="89535" b="869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655B9" w:rsidRDefault="004655B9" w:rsidP="0087443D"/>
    <w:p w:rsidR="00472D5C" w:rsidRDefault="006323E7" w:rsidP="0087443D">
      <w:pPr>
        <w:rPr>
          <w:b/>
        </w:rPr>
      </w:pPr>
      <w:r>
        <w:rPr>
          <w:b/>
        </w:rPr>
        <w:lastRenderedPageBreak/>
        <w:t xml:space="preserve">We asked: </w:t>
      </w:r>
      <w:r w:rsidR="0087443D" w:rsidRPr="0026013C">
        <w:rPr>
          <w:b/>
        </w:rPr>
        <w:t>Are there any changes to the system you would recommend which would make it easier for you to provide medical evidence free of charge to the client?</w:t>
      </w:r>
    </w:p>
    <w:p w:rsidR="0026013C" w:rsidRDefault="0026013C" w:rsidP="0087443D">
      <w:pPr>
        <w:rPr>
          <w:b/>
        </w:rPr>
      </w:pPr>
    </w:p>
    <w:p w:rsidR="0026013C" w:rsidRPr="00AE1C84" w:rsidRDefault="0026013C" w:rsidP="00AE1C84">
      <w:pPr>
        <w:pStyle w:val="ListParagraph"/>
        <w:numPr>
          <w:ilvl w:val="0"/>
          <w:numId w:val="15"/>
        </w:numPr>
        <w:rPr>
          <w:i/>
        </w:rPr>
      </w:pPr>
      <w:r w:rsidRPr="003E4FB3">
        <w:rPr>
          <w:i/>
        </w:rPr>
        <w:t>We object to the fact that outside agencies request the information, yet pass the responsibility for deciding whether to charge an individual or not onto the practice. This should be done at the point of origin. The outside agency requiring the information needs to pay. Gone are the days when this information can be provided for free.</w:t>
      </w:r>
      <w:r w:rsidR="00993E01">
        <w:rPr>
          <w:i/>
        </w:rPr>
        <w:t xml:space="preserve"> </w:t>
      </w:r>
      <w:r w:rsidRPr="003E4FB3">
        <w:rPr>
          <w:i/>
        </w:rPr>
        <w:t xml:space="preserve">Primary </w:t>
      </w:r>
      <w:r w:rsidR="00993E01">
        <w:rPr>
          <w:i/>
        </w:rPr>
        <w:t>c</w:t>
      </w:r>
      <w:r w:rsidRPr="003E4FB3">
        <w:rPr>
          <w:i/>
        </w:rPr>
        <w:t xml:space="preserve">are budgets have been cut significantly already and there is a necessity to make an appropriate charge for providing the service, in order to balance our books. However, the current system adopted by BCC is that they make it a </w:t>
      </w:r>
      <w:r w:rsidR="00AE1C84">
        <w:rPr>
          <w:i/>
        </w:rPr>
        <w:t>pr</w:t>
      </w:r>
      <w:r w:rsidRPr="003E4FB3">
        <w:rPr>
          <w:i/>
        </w:rPr>
        <w:t>actice decision whether or not to pass the cost for the informatio</w:t>
      </w:r>
      <w:r w:rsidR="00AE1C84">
        <w:rPr>
          <w:i/>
        </w:rPr>
        <w:t>n they require onto the patient –</w:t>
      </w:r>
      <w:r w:rsidRPr="00AE1C84">
        <w:rPr>
          <w:i/>
        </w:rPr>
        <w:t xml:space="preserve"> that is </w:t>
      </w:r>
      <w:r w:rsidR="006323E7" w:rsidRPr="00AE1C84">
        <w:rPr>
          <w:i/>
        </w:rPr>
        <w:t>inherently</w:t>
      </w:r>
      <w:r w:rsidRPr="00AE1C84">
        <w:rPr>
          <w:i/>
        </w:rPr>
        <w:t xml:space="preserve"> wrong.</w:t>
      </w:r>
    </w:p>
    <w:p w:rsidR="0026013C" w:rsidRPr="003E4FB3" w:rsidRDefault="00AE1C84" w:rsidP="003E4FB3">
      <w:pPr>
        <w:pStyle w:val="ListParagraph"/>
        <w:numPr>
          <w:ilvl w:val="0"/>
          <w:numId w:val="15"/>
        </w:numPr>
        <w:rPr>
          <w:i/>
        </w:rPr>
      </w:pPr>
      <w:r>
        <w:rPr>
          <w:i/>
        </w:rPr>
        <w:t>S</w:t>
      </w:r>
      <w:r w:rsidR="0026013C" w:rsidRPr="003E4FB3">
        <w:rPr>
          <w:i/>
        </w:rPr>
        <w:t>tandard ESA forms are easier to process compared to patients requests for letters and supporting evidence</w:t>
      </w:r>
    </w:p>
    <w:p w:rsidR="0026013C" w:rsidRPr="00AE1C84" w:rsidRDefault="00AE1C84" w:rsidP="00AE1C84">
      <w:pPr>
        <w:pStyle w:val="ListParagraph"/>
        <w:numPr>
          <w:ilvl w:val="0"/>
          <w:numId w:val="15"/>
        </w:numPr>
        <w:rPr>
          <w:i/>
        </w:rPr>
      </w:pPr>
      <w:r>
        <w:rPr>
          <w:i/>
        </w:rPr>
        <w:t>S</w:t>
      </w:r>
      <w:r w:rsidR="0026013C" w:rsidRPr="003E4FB3">
        <w:rPr>
          <w:i/>
        </w:rPr>
        <w:t xml:space="preserve">implify it </w:t>
      </w:r>
      <w:r>
        <w:rPr>
          <w:i/>
        </w:rPr>
        <w:t>–</w:t>
      </w:r>
      <w:r w:rsidR="0026013C" w:rsidRPr="00AE1C84">
        <w:rPr>
          <w:i/>
        </w:rPr>
        <w:t xml:space="preserve"> use of print out medical records would save time.</w:t>
      </w:r>
    </w:p>
    <w:p w:rsidR="0026013C" w:rsidRPr="003E4FB3" w:rsidRDefault="0026013C" w:rsidP="003E4FB3">
      <w:pPr>
        <w:pStyle w:val="ListParagraph"/>
        <w:numPr>
          <w:ilvl w:val="0"/>
          <w:numId w:val="15"/>
        </w:numPr>
        <w:rPr>
          <w:i/>
        </w:rPr>
      </w:pPr>
      <w:r w:rsidRPr="003E4FB3">
        <w:rPr>
          <w:i/>
        </w:rPr>
        <w:t>Payment would need to be made by another source</w:t>
      </w:r>
      <w:r w:rsidR="00AE1C84">
        <w:rPr>
          <w:i/>
        </w:rPr>
        <w:t>.</w:t>
      </w:r>
    </w:p>
    <w:p w:rsidR="0026013C" w:rsidRPr="003E4FB3" w:rsidRDefault="00AE1C84" w:rsidP="003E4FB3">
      <w:pPr>
        <w:pStyle w:val="ListParagraph"/>
        <w:numPr>
          <w:ilvl w:val="0"/>
          <w:numId w:val="15"/>
        </w:numPr>
        <w:rPr>
          <w:i/>
        </w:rPr>
      </w:pPr>
      <w:r>
        <w:rPr>
          <w:i/>
        </w:rPr>
        <w:t>B</w:t>
      </w:r>
      <w:r w:rsidR="0026013C" w:rsidRPr="003E4FB3">
        <w:rPr>
          <w:i/>
        </w:rPr>
        <w:t>ypass the need altogether as have already submitted the information once and only done due to patient pressure, often from organisations such as CAB</w:t>
      </w:r>
      <w:r w:rsidR="001E61EB">
        <w:rPr>
          <w:i/>
        </w:rPr>
        <w:t>.</w:t>
      </w:r>
    </w:p>
    <w:p w:rsidR="0026013C" w:rsidRPr="001E61EB" w:rsidRDefault="0026013C" w:rsidP="001E61EB">
      <w:pPr>
        <w:pStyle w:val="ListParagraph"/>
        <w:numPr>
          <w:ilvl w:val="0"/>
          <w:numId w:val="15"/>
        </w:numPr>
        <w:rPr>
          <w:i/>
        </w:rPr>
      </w:pPr>
      <w:r w:rsidRPr="003E4FB3">
        <w:rPr>
          <w:i/>
        </w:rPr>
        <w:t>There is no such thing as free of charge</w:t>
      </w:r>
      <w:r w:rsidR="001E61EB">
        <w:rPr>
          <w:i/>
        </w:rPr>
        <w:t xml:space="preserve"> –</w:t>
      </w:r>
      <w:r w:rsidRPr="001E61EB">
        <w:rPr>
          <w:i/>
        </w:rPr>
        <w:t xml:space="preserve"> someone pays for the time and admin costs. Free for the patient would need reimbursement from another source. If providing sick notes that should be medical evidence enough.</w:t>
      </w:r>
    </w:p>
    <w:p w:rsidR="0026013C" w:rsidRPr="001E61EB" w:rsidRDefault="0026013C" w:rsidP="001E61EB">
      <w:pPr>
        <w:pStyle w:val="ListParagraph"/>
        <w:numPr>
          <w:ilvl w:val="0"/>
          <w:numId w:val="15"/>
        </w:numPr>
        <w:rPr>
          <w:i/>
        </w:rPr>
      </w:pPr>
      <w:r w:rsidRPr="003E4FB3">
        <w:rPr>
          <w:i/>
        </w:rPr>
        <w:t>In my 25+ years of experience as a GP most requests for additional medical evidence are 'spurious claims' and would take up too many unnecessary appointment times and GP time, costing the NHS a six figure number easily, and another example of 'waste' in the NHS.  Medical evidence is already supplied on the ESA</w:t>
      </w:r>
      <w:r w:rsidR="001E61EB">
        <w:rPr>
          <w:i/>
        </w:rPr>
        <w:t>.</w:t>
      </w:r>
      <w:r w:rsidRPr="003E4FB3">
        <w:rPr>
          <w:i/>
        </w:rPr>
        <w:t xml:space="preserve"> The assessment *must* be free of GP bias</w:t>
      </w:r>
      <w:r w:rsidR="001E61EB">
        <w:rPr>
          <w:i/>
        </w:rPr>
        <w:t>.</w:t>
      </w:r>
      <w:r w:rsidRPr="003E4FB3">
        <w:rPr>
          <w:i/>
        </w:rPr>
        <w:t xml:space="preserve">  This view is strongly shared by the BMA, LMC, Health boards, and the majority of GPs in this country </w:t>
      </w:r>
      <w:r w:rsidR="001E61EB">
        <w:rPr>
          <w:i/>
        </w:rPr>
        <w:t>– we can't all be wrong!</w:t>
      </w:r>
    </w:p>
    <w:p w:rsidR="0026013C" w:rsidRPr="001E61EB" w:rsidRDefault="0026013C" w:rsidP="001E61EB">
      <w:pPr>
        <w:pStyle w:val="ListParagraph"/>
        <w:numPr>
          <w:ilvl w:val="0"/>
          <w:numId w:val="15"/>
        </w:numPr>
        <w:rPr>
          <w:i/>
        </w:rPr>
      </w:pPr>
      <w:r w:rsidRPr="003E4FB3">
        <w:rPr>
          <w:i/>
        </w:rPr>
        <w:t xml:space="preserve">Whole system needs review </w:t>
      </w:r>
      <w:r w:rsidR="001E61EB">
        <w:rPr>
          <w:i/>
        </w:rPr>
        <w:t>– p</w:t>
      </w:r>
      <w:r w:rsidRPr="001E61EB">
        <w:rPr>
          <w:i/>
        </w:rPr>
        <w:t>ractice unconvinced that medical inform</w:t>
      </w:r>
      <w:r w:rsidR="001E61EB">
        <w:rPr>
          <w:i/>
        </w:rPr>
        <w:t>ation is helpful in assessing (</w:t>
      </w:r>
      <w:r w:rsidRPr="001E61EB">
        <w:rPr>
          <w:i/>
        </w:rPr>
        <w:t>previously provided in standard format as part of contract</w:t>
      </w:r>
      <w:r w:rsidR="001E61EB">
        <w:rPr>
          <w:i/>
        </w:rPr>
        <w:t>)</w:t>
      </w:r>
      <w:r w:rsidRPr="001E61EB">
        <w:rPr>
          <w:i/>
        </w:rPr>
        <w:t>.</w:t>
      </w:r>
    </w:p>
    <w:p w:rsidR="0026013C" w:rsidRPr="006323E7" w:rsidRDefault="001E61EB" w:rsidP="006323E7">
      <w:pPr>
        <w:pStyle w:val="ListParagraph"/>
        <w:numPr>
          <w:ilvl w:val="0"/>
          <w:numId w:val="15"/>
        </w:numPr>
        <w:rPr>
          <w:i/>
        </w:rPr>
      </w:pPr>
      <w:r>
        <w:rPr>
          <w:i/>
        </w:rPr>
        <w:t>A</w:t>
      </w:r>
      <w:r w:rsidR="0026013C" w:rsidRPr="003E4FB3">
        <w:rPr>
          <w:i/>
        </w:rPr>
        <w:t xml:space="preserve">ll requests take staff time and have a cost to the practice it could be funded by the </w:t>
      </w:r>
      <w:r w:rsidR="00993E01">
        <w:rPr>
          <w:i/>
        </w:rPr>
        <w:t>G</w:t>
      </w:r>
      <w:r w:rsidR="0026013C" w:rsidRPr="003E4FB3">
        <w:rPr>
          <w:i/>
        </w:rPr>
        <w:t>ov</w:t>
      </w:r>
      <w:r w:rsidR="00993E01">
        <w:rPr>
          <w:i/>
        </w:rPr>
        <w:t>ernment.</w:t>
      </w:r>
    </w:p>
    <w:p w:rsidR="0026013C" w:rsidRPr="003E4FB3" w:rsidRDefault="0026013C" w:rsidP="003E4FB3">
      <w:pPr>
        <w:pStyle w:val="ListParagraph"/>
        <w:numPr>
          <w:ilvl w:val="0"/>
          <w:numId w:val="15"/>
        </w:numPr>
        <w:rPr>
          <w:i/>
        </w:rPr>
      </w:pPr>
      <w:r w:rsidRPr="003E4FB3">
        <w:rPr>
          <w:i/>
        </w:rPr>
        <w:t>In line with BMA guidelines – to cover GP time/administration/p</w:t>
      </w:r>
      <w:r w:rsidR="00993E01">
        <w:rPr>
          <w:i/>
        </w:rPr>
        <w:t>ostage costs as activity is non-</w:t>
      </w:r>
      <w:r w:rsidRPr="003E4FB3">
        <w:rPr>
          <w:i/>
        </w:rPr>
        <w:t>NHS funded</w:t>
      </w:r>
      <w:r w:rsidR="00993E01">
        <w:rPr>
          <w:i/>
        </w:rPr>
        <w:t>.</w:t>
      </w:r>
    </w:p>
    <w:p w:rsidR="0026013C" w:rsidRPr="003E4FB3" w:rsidRDefault="0026013C" w:rsidP="003E4FB3">
      <w:pPr>
        <w:pStyle w:val="ListParagraph"/>
        <w:numPr>
          <w:ilvl w:val="0"/>
          <w:numId w:val="15"/>
        </w:numPr>
        <w:rPr>
          <w:i/>
        </w:rPr>
      </w:pPr>
      <w:r w:rsidRPr="003E4FB3">
        <w:rPr>
          <w:i/>
        </w:rPr>
        <w:t xml:space="preserve">To cover admin time. Also to try and discourage requests. We tell patients to get Atos to write to us directly. </w:t>
      </w:r>
    </w:p>
    <w:p w:rsidR="0026013C" w:rsidRPr="001E61EB" w:rsidRDefault="0026013C" w:rsidP="001E61EB">
      <w:pPr>
        <w:pStyle w:val="ListParagraph"/>
        <w:numPr>
          <w:ilvl w:val="0"/>
          <w:numId w:val="15"/>
        </w:numPr>
        <w:rPr>
          <w:i/>
        </w:rPr>
      </w:pPr>
      <w:r w:rsidRPr="003E4FB3">
        <w:rPr>
          <w:i/>
        </w:rPr>
        <w:t xml:space="preserve">Providing copies of </w:t>
      </w:r>
      <w:r w:rsidR="001E61EB">
        <w:rPr>
          <w:i/>
        </w:rPr>
        <w:t>m</w:t>
      </w:r>
      <w:r w:rsidRPr="003E4FB3">
        <w:rPr>
          <w:i/>
        </w:rPr>
        <w:t xml:space="preserve">edical </w:t>
      </w:r>
      <w:r w:rsidR="001E61EB">
        <w:rPr>
          <w:i/>
        </w:rPr>
        <w:t>r</w:t>
      </w:r>
      <w:r w:rsidRPr="003E4FB3">
        <w:rPr>
          <w:i/>
        </w:rPr>
        <w:t xml:space="preserve">ecords </w:t>
      </w:r>
      <w:r w:rsidR="001E61EB">
        <w:rPr>
          <w:i/>
        </w:rPr>
        <w:t>– which can end up being 100</w:t>
      </w:r>
      <w:r w:rsidRPr="001E61EB">
        <w:rPr>
          <w:i/>
        </w:rPr>
        <w:t>s of pages free of charge is not a viable option considering the time it will take for a GP or receptionist to collate and print the notes. The GP to check through the notes and sign to say they are happy and then post them recorded delivery. Everything that is done incurs a cost and free of charge is not an option in this day and age where costs are rising on an almost weekly basis.</w:t>
      </w:r>
    </w:p>
    <w:p w:rsidR="0026013C" w:rsidRPr="003E4FB3" w:rsidRDefault="0026013C" w:rsidP="003E4FB3">
      <w:pPr>
        <w:pStyle w:val="ListParagraph"/>
        <w:numPr>
          <w:ilvl w:val="0"/>
          <w:numId w:val="15"/>
        </w:numPr>
        <w:rPr>
          <w:i/>
        </w:rPr>
      </w:pPr>
      <w:r w:rsidRPr="003E4FB3">
        <w:rPr>
          <w:i/>
        </w:rPr>
        <w:t xml:space="preserve">To be funded from </w:t>
      </w:r>
      <w:r w:rsidR="006323E7" w:rsidRPr="003E4FB3">
        <w:rPr>
          <w:i/>
        </w:rPr>
        <w:t>another</w:t>
      </w:r>
      <w:r w:rsidRPr="003E4FB3">
        <w:rPr>
          <w:i/>
        </w:rPr>
        <w:t xml:space="preserve"> source to undertake the work</w:t>
      </w:r>
      <w:r w:rsidR="001E61EB">
        <w:rPr>
          <w:i/>
        </w:rPr>
        <w:t>.</w:t>
      </w:r>
    </w:p>
    <w:p w:rsidR="0026013C" w:rsidRPr="003E4FB3" w:rsidRDefault="0026013C" w:rsidP="003E4FB3">
      <w:pPr>
        <w:pStyle w:val="ListParagraph"/>
        <w:numPr>
          <w:ilvl w:val="0"/>
          <w:numId w:val="15"/>
        </w:numPr>
        <w:rPr>
          <w:i/>
        </w:rPr>
      </w:pPr>
      <w:r w:rsidRPr="003E4FB3">
        <w:rPr>
          <w:i/>
        </w:rPr>
        <w:t>Provide more hours in the day!</w:t>
      </w:r>
    </w:p>
    <w:p w:rsidR="0026013C" w:rsidRPr="003E4FB3" w:rsidRDefault="00993E01" w:rsidP="003E4FB3">
      <w:pPr>
        <w:pStyle w:val="ListParagraph"/>
        <w:numPr>
          <w:ilvl w:val="0"/>
          <w:numId w:val="15"/>
        </w:numPr>
        <w:rPr>
          <w:i/>
        </w:rPr>
      </w:pPr>
      <w:r>
        <w:rPr>
          <w:i/>
        </w:rPr>
        <w:t>Current g</w:t>
      </w:r>
      <w:r w:rsidR="0026013C" w:rsidRPr="003E4FB3">
        <w:rPr>
          <w:i/>
        </w:rPr>
        <w:t>uid</w:t>
      </w:r>
      <w:r>
        <w:rPr>
          <w:i/>
        </w:rPr>
        <w:t>e</w:t>
      </w:r>
      <w:r w:rsidR="0026013C" w:rsidRPr="003E4FB3">
        <w:rPr>
          <w:i/>
        </w:rPr>
        <w:t>lines</w:t>
      </w:r>
      <w:r w:rsidR="001E61EB">
        <w:rPr>
          <w:i/>
        </w:rPr>
        <w:t>.</w:t>
      </w:r>
    </w:p>
    <w:p w:rsidR="0026013C" w:rsidRPr="003E4FB3" w:rsidRDefault="00993E01" w:rsidP="003E4FB3">
      <w:pPr>
        <w:pStyle w:val="ListParagraph"/>
        <w:numPr>
          <w:ilvl w:val="0"/>
          <w:numId w:val="15"/>
        </w:numPr>
        <w:rPr>
          <w:i/>
        </w:rPr>
      </w:pPr>
      <w:r>
        <w:rPr>
          <w:i/>
        </w:rPr>
        <w:t>Guida</w:t>
      </w:r>
      <w:r w:rsidR="0026013C" w:rsidRPr="003E4FB3">
        <w:rPr>
          <w:i/>
        </w:rPr>
        <w:t>nce of exactly what the department would find useful to know from me to best support my patient.</w:t>
      </w:r>
    </w:p>
    <w:p w:rsidR="0026013C" w:rsidRPr="003E1131" w:rsidRDefault="0026013C" w:rsidP="003E1131">
      <w:pPr>
        <w:pStyle w:val="ListParagraph"/>
        <w:numPr>
          <w:ilvl w:val="0"/>
          <w:numId w:val="15"/>
        </w:numPr>
        <w:rPr>
          <w:i/>
        </w:rPr>
      </w:pPr>
      <w:r w:rsidRPr="003E4FB3">
        <w:rPr>
          <w:i/>
        </w:rPr>
        <w:t xml:space="preserve">Less requests for information from any source </w:t>
      </w:r>
      <w:r w:rsidR="003E1131">
        <w:rPr>
          <w:i/>
        </w:rPr>
        <w:t>–</w:t>
      </w:r>
      <w:r w:rsidRPr="003E1131">
        <w:rPr>
          <w:i/>
        </w:rPr>
        <w:t xml:space="preserve"> verbal requests by patient</w:t>
      </w:r>
      <w:r w:rsidR="003E1131">
        <w:rPr>
          <w:i/>
        </w:rPr>
        <w:t>s being told by appeal process/Job</w:t>
      </w:r>
      <w:r w:rsidRPr="003E1131">
        <w:rPr>
          <w:i/>
        </w:rPr>
        <w:t xml:space="preserve">centre to get a further report when often </w:t>
      </w:r>
      <w:r w:rsidR="003E1131" w:rsidRPr="003E1131">
        <w:rPr>
          <w:i/>
        </w:rPr>
        <w:t>two</w:t>
      </w:r>
      <w:r w:rsidRPr="003E1131">
        <w:rPr>
          <w:i/>
        </w:rPr>
        <w:t xml:space="preserve"> have already been sent on official forms.</w:t>
      </w:r>
    </w:p>
    <w:p w:rsidR="0026013C" w:rsidRPr="003E4FB3" w:rsidRDefault="0026013C" w:rsidP="003E4FB3">
      <w:pPr>
        <w:pStyle w:val="ListParagraph"/>
        <w:numPr>
          <w:ilvl w:val="0"/>
          <w:numId w:val="15"/>
        </w:numPr>
        <w:rPr>
          <w:i/>
        </w:rPr>
      </w:pPr>
      <w:r w:rsidRPr="003E4FB3">
        <w:rPr>
          <w:i/>
        </w:rPr>
        <w:lastRenderedPageBreak/>
        <w:t>No. Who else works for free? Will Tesco or British Gas give them a discount? Does your CEO not get paid? I think it's wholly inappropriate to apply pressure on GPs to work for free.</w:t>
      </w:r>
    </w:p>
    <w:p w:rsidR="0026013C" w:rsidRPr="003E4FB3" w:rsidRDefault="00593AF0" w:rsidP="003E4FB3">
      <w:pPr>
        <w:pStyle w:val="ListParagraph"/>
        <w:numPr>
          <w:ilvl w:val="0"/>
          <w:numId w:val="15"/>
        </w:numPr>
        <w:rPr>
          <w:i/>
        </w:rPr>
      </w:pPr>
      <w:r>
        <w:rPr>
          <w:i/>
        </w:rPr>
        <w:t xml:space="preserve">Yes if </w:t>
      </w:r>
      <w:proofErr w:type="spellStart"/>
      <w:r>
        <w:rPr>
          <w:i/>
        </w:rPr>
        <w:t>bosuied</w:t>
      </w:r>
      <w:proofErr w:type="spellEnd"/>
      <w:r>
        <w:rPr>
          <w:i/>
        </w:rPr>
        <w:t xml:space="preserve"> su</w:t>
      </w:r>
      <w:r w:rsidR="0026013C" w:rsidRPr="003E4FB3">
        <w:rPr>
          <w:i/>
        </w:rPr>
        <w:t>ch as yourself actually read  t</w:t>
      </w:r>
      <w:r>
        <w:rPr>
          <w:i/>
        </w:rPr>
        <w:t>he cabinet office guidance " pa</w:t>
      </w:r>
      <w:r w:rsidR="0026013C" w:rsidRPr="003E4FB3">
        <w:rPr>
          <w:i/>
        </w:rPr>
        <w:t>t</w:t>
      </w:r>
      <w:r>
        <w:rPr>
          <w:i/>
        </w:rPr>
        <w:t>i</w:t>
      </w:r>
      <w:r w:rsidR="0026013C" w:rsidRPr="003E4FB3">
        <w:rPr>
          <w:i/>
        </w:rPr>
        <w:t>ents Not Paperwork" which i</w:t>
      </w:r>
      <w:r>
        <w:rPr>
          <w:i/>
        </w:rPr>
        <w:t>n</w:t>
      </w:r>
      <w:r w:rsidR="0026013C" w:rsidRPr="003E4FB3">
        <w:rPr>
          <w:i/>
        </w:rPr>
        <w:t xml:space="preserve">structs of your and the patient duties in this matter- which odes include NOPT approaching GP@s directly.  The information you require could be obtained from </w:t>
      </w:r>
      <w:proofErr w:type="spellStart"/>
      <w:r w:rsidR="0026013C" w:rsidRPr="003E4FB3">
        <w:rPr>
          <w:i/>
        </w:rPr>
        <w:t>Seftomn</w:t>
      </w:r>
      <w:proofErr w:type="spellEnd"/>
      <w:r w:rsidR="0026013C" w:rsidRPr="003E4FB3">
        <w:rPr>
          <w:i/>
        </w:rPr>
        <w:t xml:space="preserve"> Local Medical Commit</w:t>
      </w:r>
      <w:r>
        <w:rPr>
          <w:i/>
        </w:rPr>
        <w:t xml:space="preserve">tee , so you are gain </w:t>
      </w:r>
      <w:r w:rsidR="0026013C" w:rsidRPr="003E4FB3">
        <w:rPr>
          <w:i/>
        </w:rPr>
        <w:t>on breach of your obligation on this matter.</w:t>
      </w:r>
    </w:p>
    <w:p w:rsidR="0026013C" w:rsidRPr="003E4FB3" w:rsidRDefault="001E61EB" w:rsidP="003E4FB3">
      <w:pPr>
        <w:pStyle w:val="ListParagraph"/>
        <w:numPr>
          <w:ilvl w:val="0"/>
          <w:numId w:val="15"/>
        </w:numPr>
        <w:rPr>
          <w:i/>
        </w:rPr>
      </w:pPr>
      <w:r>
        <w:rPr>
          <w:i/>
        </w:rPr>
        <w:t>Thi</w:t>
      </w:r>
      <w:r w:rsidR="0026013C" w:rsidRPr="003E4FB3">
        <w:rPr>
          <w:i/>
        </w:rPr>
        <w:t xml:space="preserve">rd party should provide copies of 'points </w:t>
      </w:r>
      <w:r w:rsidR="003E1131">
        <w:rPr>
          <w:i/>
        </w:rPr>
        <w:t>scored for each section' by Atos.</w:t>
      </w:r>
    </w:p>
    <w:p w:rsidR="0026013C" w:rsidRPr="003E4FB3" w:rsidRDefault="0026013C" w:rsidP="003E4FB3">
      <w:pPr>
        <w:pStyle w:val="ListParagraph"/>
        <w:numPr>
          <w:ilvl w:val="0"/>
          <w:numId w:val="15"/>
        </w:numPr>
        <w:rPr>
          <w:i/>
        </w:rPr>
      </w:pPr>
      <w:r w:rsidRPr="003E4FB3">
        <w:rPr>
          <w:i/>
        </w:rPr>
        <w:t>We do not charge as such for a print out of medical records but would consider a charge for a written report. However a fee to the GP would be fair, after already having completed a report for the DWP</w:t>
      </w:r>
      <w:r w:rsidR="003E1131">
        <w:rPr>
          <w:i/>
        </w:rPr>
        <w:t>.</w:t>
      </w:r>
    </w:p>
    <w:p w:rsidR="0026013C" w:rsidRPr="003E4FB3" w:rsidRDefault="0026013C" w:rsidP="003E4FB3">
      <w:pPr>
        <w:pStyle w:val="ListParagraph"/>
        <w:numPr>
          <w:ilvl w:val="0"/>
          <w:numId w:val="15"/>
        </w:numPr>
        <w:rPr>
          <w:i/>
        </w:rPr>
      </w:pPr>
      <w:r w:rsidRPr="003E4FB3">
        <w:rPr>
          <w:i/>
        </w:rPr>
        <w:t>Would like to see the onus on the DWP to pay. Would prefer not to charge patients, but as the practice is located in a deprived area they are inundated with requests for medical evidence to support benefit claims and appeals (incl. housing). Funding cuts to practices in deprived areas have reduced the ability of doctors to spend time on this kind of work. Can only see the charges going up in th</w:t>
      </w:r>
      <w:r w:rsidR="003E1131">
        <w:rPr>
          <w:i/>
        </w:rPr>
        <w:t>e future as demand is so high. F</w:t>
      </w:r>
      <w:r w:rsidRPr="003E4FB3">
        <w:rPr>
          <w:i/>
        </w:rPr>
        <w:t>ree provision is impossible due to the workload.</w:t>
      </w:r>
    </w:p>
    <w:p w:rsidR="0026013C" w:rsidRPr="003E4FB3" w:rsidRDefault="0026013C" w:rsidP="003E4FB3">
      <w:pPr>
        <w:pStyle w:val="ListParagraph"/>
        <w:numPr>
          <w:ilvl w:val="0"/>
          <w:numId w:val="15"/>
        </w:numPr>
        <w:rPr>
          <w:i/>
        </w:rPr>
      </w:pPr>
      <w:r w:rsidRPr="003E4FB3">
        <w:rPr>
          <w:i/>
        </w:rPr>
        <w:t>Would like to see a standard letter from the DWP, paid for by the DWP. Is very unhappy that GPs</w:t>
      </w:r>
      <w:r w:rsidR="003E1131">
        <w:rPr>
          <w:i/>
        </w:rPr>
        <w:t>’</w:t>
      </w:r>
      <w:r w:rsidRPr="003E4FB3">
        <w:rPr>
          <w:i/>
        </w:rPr>
        <w:t xml:space="preserve"> time is taken up for free. It is unfair that patients are required to obtain their own evidence</w:t>
      </w:r>
      <w:r w:rsidR="003E1131">
        <w:rPr>
          <w:i/>
        </w:rPr>
        <w:t>.</w:t>
      </w:r>
    </w:p>
    <w:p w:rsidR="0026013C" w:rsidRPr="006323E7" w:rsidRDefault="0026013C" w:rsidP="006323E7">
      <w:pPr>
        <w:pStyle w:val="ListParagraph"/>
        <w:numPr>
          <w:ilvl w:val="0"/>
          <w:numId w:val="15"/>
        </w:numPr>
        <w:rPr>
          <w:i/>
        </w:rPr>
      </w:pPr>
      <w:r w:rsidRPr="003E4FB3">
        <w:rPr>
          <w:i/>
        </w:rPr>
        <w:t>The system is wrong in that patients have to seek</w:t>
      </w:r>
      <w:r w:rsidR="003E1131">
        <w:rPr>
          <w:i/>
        </w:rPr>
        <w:t xml:space="preserve"> out their own evidence from GP</w:t>
      </w:r>
      <w:r w:rsidRPr="003E4FB3">
        <w:rPr>
          <w:i/>
        </w:rPr>
        <w:t>s. The provision of supporting evidence for benefits is a major pro</w:t>
      </w:r>
      <w:r w:rsidR="00A078EC">
        <w:rPr>
          <w:i/>
        </w:rPr>
        <w:t>blem for the health service. GP</w:t>
      </w:r>
      <w:r w:rsidRPr="003E4FB3">
        <w:rPr>
          <w:i/>
        </w:rPr>
        <w:t>s would rather focus on clinical care and services. Patients should not have to seek out their own</w:t>
      </w:r>
      <w:r w:rsidR="00A078EC">
        <w:rPr>
          <w:i/>
        </w:rPr>
        <w:t xml:space="preserve"> evidence. T</w:t>
      </w:r>
      <w:r w:rsidRPr="003E4FB3">
        <w:rPr>
          <w:i/>
        </w:rPr>
        <w:t>his should be dealt with via another organisation/body.</w:t>
      </w:r>
    </w:p>
    <w:p w:rsidR="0026013C" w:rsidRPr="003E4FB3" w:rsidRDefault="0026013C" w:rsidP="003E4FB3">
      <w:pPr>
        <w:pStyle w:val="ListParagraph"/>
        <w:numPr>
          <w:ilvl w:val="0"/>
          <w:numId w:val="15"/>
        </w:numPr>
        <w:rPr>
          <w:i/>
        </w:rPr>
      </w:pPr>
      <w:r w:rsidRPr="003E4FB3">
        <w:rPr>
          <w:i/>
        </w:rPr>
        <w:t>A specific form detailing exact requirements, rather than patients asking for all of their records each time.</w:t>
      </w:r>
    </w:p>
    <w:p w:rsidR="0026013C" w:rsidRPr="006323E7" w:rsidRDefault="0026013C" w:rsidP="006323E7">
      <w:pPr>
        <w:pStyle w:val="ListParagraph"/>
        <w:numPr>
          <w:ilvl w:val="0"/>
          <w:numId w:val="15"/>
        </w:numPr>
        <w:rPr>
          <w:i/>
        </w:rPr>
      </w:pPr>
      <w:r w:rsidRPr="003E4FB3">
        <w:rPr>
          <w:i/>
        </w:rPr>
        <w:t>Need for evidence should be fully funded and should not require patients to request this evidence.</w:t>
      </w:r>
    </w:p>
    <w:p w:rsidR="0026013C" w:rsidRPr="00A078EC" w:rsidRDefault="00A078EC" w:rsidP="00A078EC">
      <w:pPr>
        <w:pStyle w:val="ListParagraph"/>
        <w:numPr>
          <w:ilvl w:val="0"/>
          <w:numId w:val="15"/>
        </w:numPr>
        <w:rPr>
          <w:i/>
        </w:rPr>
      </w:pPr>
      <w:r>
        <w:rPr>
          <w:i/>
        </w:rPr>
        <w:t>T</w:t>
      </w:r>
      <w:r w:rsidR="0026013C" w:rsidRPr="003E4FB3">
        <w:rPr>
          <w:i/>
        </w:rPr>
        <w:t xml:space="preserve">he more deprived the area the more requests for medical evidence </w:t>
      </w:r>
      <w:proofErr w:type="gramStart"/>
      <w:r w:rsidR="0026013C" w:rsidRPr="003E4FB3">
        <w:rPr>
          <w:i/>
        </w:rPr>
        <w:t>are</w:t>
      </w:r>
      <w:proofErr w:type="gramEnd"/>
      <w:r w:rsidR="0026013C" w:rsidRPr="003E4FB3">
        <w:rPr>
          <w:i/>
        </w:rPr>
        <w:t xml:space="preserve"> needed. </w:t>
      </w:r>
      <w:r>
        <w:rPr>
          <w:i/>
        </w:rPr>
        <w:t>T</w:t>
      </w:r>
      <w:r w:rsidR="0026013C" w:rsidRPr="003E4FB3">
        <w:rPr>
          <w:i/>
        </w:rPr>
        <w:t xml:space="preserve">his takes more of our time when we are already busy with more illness due to deprivation and we feel we cannot charge </w:t>
      </w:r>
      <w:proofErr w:type="spellStart"/>
      <w:r w:rsidR="0026013C" w:rsidRPr="003E4FB3">
        <w:rPr>
          <w:i/>
        </w:rPr>
        <w:t>pt</w:t>
      </w:r>
      <w:proofErr w:type="spellEnd"/>
      <w:r w:rsidR="0026013C" w:rsidRPr="003E4FB3">
        <w:rPr>
          <w:i/>
        </w:rPr>
        <w:t xml:space="preserve"> for these </w:t>
      </w:r>
      <w:proofErr w:type="gramStart"/>
      <w:r w:rsidR="0026013C" w:rsidRPr="003E4FB3">
        <w:rPr>
          <w:i/>
        </w:rPr>
        <w:t>type</w:t>
      </w:r>
      <w:proofErr w:type="gramEnd"/>
      <w:r w:rsidR="0026013C" w:rsidRPr="003E4FB3">
        <w:rPr>
          <w:i/>
        </w:rPr>
        <w:t xml:space="preserve"> of letters. </w:t>
      </w:r>
      <w:proofErr w:type="gramStart"/>
      <w:r w:rsidR="0026013C" w:rsidRPr="003E4FB3">
        <w:rPr>
          <w:i/>
        </w:rPr>
        <w:t>a recognition</w:t>
      </w:r>
      <w:proofErr w:type="gramEnd"/>
      <w:r w:rsidR="0026013C" w:rsidRPr="003E4FB3">
        <w:rPr>
          <w:i/>
        </w:rPr>
        <w:t xml:space="preserve"> of this dilemma would be helpful from all directions </w:t>
      </w:r>
      <w:r>
        <w:rPr>
          <w:i/>
        </w:rPr>
        <w:t>– CAB , DWP BMA .  W</w:t>
      </w:r>
      <w:r w:rsidR="0026013C" w:rsidRPr="00A078EC">
        <w:rPr>
          <w:i/>
        </w:rPr>
        <w:t>e and similar would not want to charge the patients but practices in deprived areas should be compensated in time or money to recognise additional time needed to do these things.</w:t>
      </w:r>
    </w:p>
    <w:p w:rsidR="0026013C" w:rsidRPr="003E4FB3" w:rsidRDefault="0026013C" w:rsidP="003E4FB3">
      <w:pPr>
        <w:pStyle w:val="ListParagraph"/>
        <w:numPr>
          <w:ilvl w:val="0"/>
          <w:numId w:val="15"/>
        </w:numPr>
        <w:rPr>
          <w:i/>
        </w:rPr>
      </w:pPr>
      <w:r w:rsidRPr="003E4FB3">
        <w:rPr>
          <w:i/>
        </w:rPr>
        <w:t xml:space="preserve">Send it to someone else. We really </w:t>
      </w:r>
      <w:proofErr w:type="spellStart"/>
      <w:r w:rsidRPr="003E4FB3">
        <w:rPr>
          <w:i/>
        </w:rPr>
        <w:t>really</w:t>
      </w:r>
      <w:proofErr w:type="spellEnd"/>
      <w:r w:rsidRPr="003E4FB3">
        <w:rPr>
          <w:i/>
        </w:rPr>
        <w:t xml:space="preserve"> don't have time or energy to do them. There has been a vertical </w:t>
      </w:r>
      <w:proofErr w:type="spellStart"/>
      <w:r w:rsidRPr="003E4FB3">
        <w:rPr>
          <w:i/>
        </w:rPr>
        <w:t>take off</w:t>
      </w:r>
      <w:proofErr w:type="spellEnd"/>
      <w:r w:rsidRPr="003E4FB3">
        <w:rPr>
          <w:i/>
        </w:rPr>
        <w:t xml:space="preserve"> of requests. Investment in pr</w:t>
      </w:r>
      <w:r w:rsidR="00A078EC">
        <w:rPr>
          <w:i/>
        </w:rPr>
        <w:t>i</w:t>
      </w:r>
      <w:r w:rsidR="00A9458D">
        <w:rPr>
          <w:i/>
        </w:rPr>
        <w:t>mary care has decreased as a per</w:t>
      </w:r>
      <w:r w:rsidRPr="003E4FB3">
        <w:rPr>
          <w:i/>
        </w:rPr>
        <w:t>centage of the total NHS budget over the last 8 years. 90</w:t>
      </w:r>
      <w:r w:rsidR="00A078EC">
        <w:rPr>
          <w:i/>
        </w:rPr>
        <w:t xml:space="preserve"> per cent </w:t>
      </w:r>
      <w:r w:rsidRPr="003E4FB3">
        <w:rPr>
          <w:i/>
        </w:rPr>
        <w:t xml:space="preserve">of patient contacts are in primary care. Over the last </w:t>
      </w:r>
      <w:r w:rsidR="00A9458D">
        <w:rPr>
          <w:i/>
        </w:rPr>
        <w:t>six</w:t>
      </w:r>
      <w:r w:rsidRPr="003E4FB3">
        <w:rPr>
          <w:i/>
        </w:rPr>
        <w:t xml:space="preserve"> years there were 40 million extra consultations per year with GPs in England. There aren't any more GPs, practice staff or time. We don't want to receive </w:t>
      </w:r>
      <w:proofErr w:type="gramStart"/>
      <w:r w:rsidRPr="003E4FB3">
        <w:rPr>
          <w:i/>
        </w:rPr>
        <w:t>these</w:t>
      </w:r>
      <w:proofErr w:type="gramEnd"/>
      <w:r w:rsidRPr="003E4FB3">
        <w:rPr>
          <w:i/>
        </w:rPr>
        <w:t xml:space="preserve"> forms/admin at all, ever. Suggest independent occupational health doctor paid for by A</w:t>
      </w:r>
      <w:r w:rsidR="00A9458D">
        <w:rPr>
          <w:i/>
        </w:rPr>
        <w:t>tos</w:t>
      </w:r>
      <w:r w:rsidRPr="003E4FB3">
        <w:rPr>
          <w:i/>
        </w:rPr>
        <w:t xml:space="preserve"> profits?</w:t>
      </w:r>
    </w:p>
    <w:p w:rsidR="0026013C" w:rsidRPr="003E4FB3" w:rsidRDefault="0026013C" w:rsidP="003E4FB3">
      <w:pPr>
        <w:pStyle w:val="ListParagraph"/>
        <w:numPr>
          <w:ilvl w:val="0"/>
          <w:numId w:val="15"/>
        </w:numPr>
        <w:rPr>
          <w:i/>
        </w:rPr>
      </w:pPr>
      <w:r w:rsidRPr="003E4FB3">
        <w:rPr>
          <w:i/>
        </w:rPr>
        <w:t>It would be much easier if a standard printout of medical records, similar to an amount of work.</w:t>
      </w:r>
    </w:p>
    <w:p w:rsidR="0026013C" w:rsidRPr="00A9458D" w:rsidRDefault="0026013C" w:rsidP="00A9458D">
      <w:pPr>
        <w:pStyle w:val="ListParagraph"/>
        <w:numPr>
          <w:ilvl w:val="0"/>
          <w:numId w:val="15"/>
        </w:numPr>
        <w:rPr>
          <w:i/>
        </w:rPr>
      </w:pPr>
      <w:r w:rsidRPr="003E4FB3">
        <w:rPr>
          <w:i/>
        </w:rPr>
        <w:t xml:space="preserve">CAB </w:t>
      </w:r>
      <w:proofErr w:type="gramStart"/>
      <w:r w:rsidRPr="003E4FB3">
        <w:rPr>
          <w:i/>
        </w:rPr>
        <w:t>do</w:t>
      </w:r>
      <w:proofErr w:type="gramEnd"/>
      <w:r w:rsidRPr="003E4FB3">
        <w:rPr>
          <w:i/>
        </w:rPr>
        <w:t xml:space="preserve"> the work and ask me to countersign that I agree with what has been said </w:t>
      </w:r>
      <w:r w:rsidR="00A9458D">
        <w:rPr>
          <w:i/>
        </w:rPr>
        <w:t>–</w:t>
      </w:r>
      <w:r w:rsidRPr="00A9458D">
        <w:rPr>
          <w:i/>
        </w:rPr>
        <w:t xml:space="preserve"> if I do, I do! and don't charge.</w:t>
      </w:r>
    </w:p>
    <w:p w:rsidR="0026013C" w:rsidRPr="003E4FB3" w:rsidRDefault="0026013C" w:rsidP="003E4FB3">
      <w:pPr>
        <w:pStyle w:val="ListParagraph"/>
        <w:numPr>
          <w:ilvl w:val="0"/>
          <w:numId w:val="15"/>
        </w:numPr>
        <w:rPr>
          <w:i/>
        </w:rPr>
      </w:pPr>
      <w:r w:rsidRPr="003E4FB3">
        <w:rPr>
          <w:i/>
        </w:rPr>
        <w:t>GPs should be asked by DWP for background medical information on all claimants as many claimants are not fully aware of all the conditions they have or their significa</w:t>
      </w:r>
      <w:r w:rsidR="00A078EC">
        <w:rPr>
          <w:i/>
        </w:rPr>
        <w:t>nce. I have seen patients' self-</w:t>
      </w:r>
      <w:r w:rsidRPr="003E4FB3">
        <w:rPr>
          <w:i/>
        </w:rPr>
        <w:t xml:space="preserve">completed forms and they often understate </w:t>
      </w:r>
      <w:r w:rsidRPr="003E4FB3">
        <w:rPr>
          <w:i/>
        </w:rPr>
        <w:lastRenderedPageBreak/>
        <w:t>their case by missing out important information. This is especially true of people with mental health problems, or people whose first language is not English.</w:t>
      </w:r>
    </w:p>
    <w:p w:rsidR="0026013C" w:rsidRPr="003E4FB3" w:rsidRDefault="0026013C" w:rsidP="003E4FB3">
      <w:pPr>
        <w:pStyle w:val="ListParagraph"/>
        <w:numPr>
          <w:ilvl w:val="0"/>
          <w:numId w:val="15"/>
        </w:numPr>
        <w:rPr>
          <w:i/>
        </w:rPr>
      </w:pPr>
      <w:r w:rsidRPr="003E4FB3">
        <w:rPr>
          <w:i/>
        </w:rPr>
        <w:t>DWP should pay us</w:t>
      </w:r>
      <w:r w:rsidR="00A9458D">
        <w:rPr>
          <w:i/>
        </w:rPr>
        <w:t>.</w:t>
      </w:r>
    </w:p>
    <w:p w:rsidR="0026013C" w:rsidRPr="003E4FB3" w:rsidRDefault="0026013C" w:rsidP="003E4FB3">
      <w:pPr>
        <w:pStyle w:val="ListParagraph"/>
        <w:numPr>
          <w:ilvl w:val="0"/>
          <w:numId w:val="15"/>
        </w:numPr>
        <w:rPr>
          <w:i/>
        </w:rPr>
      </w:pPr>
      <w:r w:rsidRPr="003E4FB3">
        <w:rPr>
          <w:i/>
        </w:rPr>
        <w:t>If CAB gave clients a form or an electronic link to a form to complete saying that 'you may charge the patient but most practices are prepared to fill this out for free'.</w:t>
      </w:r>
    </w:p>
    <w:p w:rsidR="0026013C" w:rsidRPr="00A9458D" w:rsidRDefault="0026013C" w:rsidP="00A9458D">
      <w:pPr>
        <w:pStyle w:val="ListParagraph"/>
        <w:numPr>
          <w:ilvl w:val="0"/>
          <w:numId w:val="15"/>
        </w:numPr>
        <w:rPr>
          <w:i/>
        </w:rPr>
      </w:pPr>
      <w:r w:rsidRPr="003E4FB3">
        <w:rPr>
          <w:i/>
        </w:rPr>
        <w:t>Standard form with descri</w:t>
      </w:r>
      <w:r w:rsidR="00A9458D">
        <w:rPr>
          <w:i/>
        </w:rPr>
        <w:t>ptors described would help. Brie</w:t>
      </w:r>
      <w:r w:rsidRPr="003E4FB3">
        <w:rPr>
          <w:i/>
        </w:rPr>
        <w:t>f [</w:t>
      </w:r>
      <w:r w:rsidR="00A9458D">
        <w:rPr>
          <w:i/>
        </w:rPr>
        <w:t xml:space="preserve">four </w:t>
      </w:r>
      <w:r w:rsidRPr="003E4FB3">
        <w:rPr>
          <w:i/>
        </w:rPr>
        <w:t xml:space="preserve">sides A4 maximum] </w:t>
      </w:r>
      <w:r w:rsidR="00A9458D">
        <w:rPr>
          <w:i/>
        </w:rPr>
        <w:t>–</w:t>
      </w:r>
      <w:r w:rsidRPr="00A9458D">
        <w:rPr>
          <w:i/>
        </w:rPr>
        <w:t xml:space="preserve"> one side better </w:t>
      </w:r>
      <w:r w:rsidR="00A9458D">
        <w:rPr>
          <w:i/>
        </w:rPr>
        <w:t>–</w:t>
      </w:r>
      <w:r w:rsidRPr="00A9458D">
        <w:rPr>
          <w:i/>
        </w:rPr>
        <w:t xml:space="preserve"> description of key points for GPs to know.</w:t>
      </w:r>
    </w:p>
    <w:p w:rsidR="0026013C" w:rsidRPr="006323E7" w:rsidRDefault="0026013C" w:rsidP="006323E7">
      <w:pPr>
        <w:pStyle w:val="ListParagraph"/>
        <w:numPr>
          <w:ilvl w:val="0"/>
          <w:numId w:val="15"/>
        </w:numPr>
        <w:rPr>
          <w:i/>
        </w:rPr>
      </w:pPr>
      <w:r w:rsidRPr="003E4FB3">
        <w:rPr>
          <w:i/>
        </w:rPr>
        <w:t>It is unlikely we would provide information beyond the ESA113 form free of charge.  It is not unreasonable that we should be paid for our time for matters t</w:t>
      </w:r>
      <w:r w:rsidR="00A9458D">
        <w:rPr>
          <w:i/>
        </w:rPr>
        <w:t xml:space="preserve">hat are not direct healthcare. </w:t>
      </w:r>
      <w:r w:rsidRPr="003E4FB3">
        <w:rPr>
          <w:i/>
        </w:rPr>
        <w:t>We are not familiar with the criteria used for assessing benefits entitlement and our input should be restricted to providing factual information about the medical conditions. We are often asked to provide information about a patient's activities of dai</w:t>
      </w:r>
      <w:r w:rsidR="00A9458D">
        <w:rPr>
          <w:i/>
        </w:rPr>
        <w:t>ly living in relation to benefit</w:t>
      </w:r>
      <w:r w:rsidRPr="003E4FB3">
        <w:rPr>
          <w:i/>
        </w:rPr>
        <w:t>s assessment but often do not know and simply invite the patient in to answer</w:t>
      </w:r>
      <w:r w:rsidR="00A9458D">
        <w:rPr>
          <w:i/>
        </w:rPr>
        <w:t xml:space="preserve"> the questions. </w:t>
      </w:r>
      <w:r w:rsidRPr="003E4FB3">
        <w:rPr>
          <w:i/>
        </w:rPr>
        <w:t>Accepting the patient's answer would be a way of avoiding any fees from the GP who is really only providing a signature to the patient's own opinion.</w:t>
      </w:r>
    </w:p>
    <w:sectPr w:rsidR="0026013C" w:rsidRPr="006323E7">
      <w:headerReference w:type="even" r:id="rId16"/>
      <w:headerReference w:type="default" r:id="rId17"/>
      <w:footerReference w:type="even" r:id="rId18"/>
      <w:footerReference w:type="default" r:id="rId19"/>
      <w:headerReference w:type="first" r:id="rId20"/>
      <w:footerReference w:type="first" r:id="rId21"/>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D97" w:rsidRDefault="00E05D97">
      <w:r>
        <w:separator/>
      </w:r>
    </w:p>
  </w:endnote>
  <w:endnote w:type="continuationSeparator" w:id="0">
    <w:p w:rsidR="00E05D97" w:rsidRDefault="00E0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2F" w:rsidRDefault="007331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2F" w:rsidRDefault="007331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2F" w:rsidRDefault="00733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D97" w:rsidRDefault="00E05D97">
      <w:r>
        <w:separator/>
      </w:r>
    </w:p>
  </w:footnote>
  <w:footnote w:type="continuationSeparator" w:id="0">
    <w:p w:rsidR="00E05D97" w:rsidRDefault="00E05D97">
      <w:r>
        <w:continuationSeparator/>
      </w:r>
    </w:p>
  </w:footnote>
  <w:footnote w:id="1">
    <w:p w:rsidR="0073312F" w:rsidRDefault="0073312F">
      <w:pPr>
        <w:pStyle w:val="FootnoteText"/>
      </w:pPr>
      <w:r>
        <w:rPr>
          <w:rStyle w:val="FootnoteReference"/>
        </w:rPr>
        <w:footnoteRef/>
      </w:r>
      <w:r>
        <w:t xml:space="preserve"> Green = provide medical evidence, amber = provide medical evidence to some groups, red = do</w:t>
      </w:r>
      <w:r w:rsidR="00F16D61">
        <w:t xml:space="preserve"> not provide medical evidence</w:t>
      </w:r>
      <w:r w:rsidR="00014C47">
        <w:rPr>
          <w:rStyle w:val="Hyperlink"/>
        </w:rPr>
        <w:t>.</w:t>
      </w:r>
      <w:r w:rsidR="00A51BE2">
        <w:rPr>
          <w:rStyle w:val="Hyperlink"/>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2F" w:rsidRDefault="007331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2F" w:rsidRPr="00596323" w:rsidRDefault="0073312F" w:rsidP="005963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2F" w:rsidRDefault="007331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943AAE"/>
    <w:lvl w:ilvl="0">
      <w:start w:val="1"/>
      <w:numFmt w:val="decimal"/>
      <w:lvlText w:val="%1."/>
      <w:lvlJc w:val="left"/>
      <w:pPr>
        <w:tabs>
          <w:tab w:val="num" w:pos="1492"/>
        </w:tabs>
        <w:ind w:left="1492" w:hanging="360"/>
      </w:pPr>
    </w:lvl>
  </w:abstractNum>
  <w:abstractNum w:abstractNumId="1">
    <w:nsid w:val="FFFFFF7D"/>
    <w:multiLevelType w:val="singleLevel"/>
    <w:tmpl w:val="8FA2CEB6"/>
    <w:lvl w:ilvl="0">
      <w:start w:val="1"/>
      <w:numFmt w:val="decimal"/>
      <w:lvlText w:val="%1."/>
      <w:lvlJc w:val="left"/>
      <w:pPr>
        <w:tabs>
          <w:tab w:val="num" w:pos="1209"/>
        </w:tabs>
        <w:ind w:left="1209" w:hanging="360"/>
      </w:pPr>
    </w:lvl>
  </w:abstractNum>
  <w:abstractNum w:abstractNumId="2">
    <w:nsid w:val="FFFFFF7E"/>
    <w:multiLevelType w:val="singleLevel"/>
    <w:tmpl w:val="BFC69826"/>
    <w:lvl w:ilvl="0">
      <w:start w:val="1"/>
      <w:numFmt w:val="decimal"/>
      <w:lvlText w:val="%1."/>
      <w:lvlJc w:val="left"/>
      <w:pPr>
        <w:tabs>
          <w:tab w:val="num" w:pos="926"/>
        </w:tabs>
        <w:ind w:left="926" w:hanging="360"/>
      </w:pPr>
    </w:lvl>
  </w:abstractNum>
  <w:abstractNum w:abstractNumId="3">
    <w:nsid w:val="FFFFFF7F"/>
    <w:multiLevelType w:val="singleLevel"/>
    <w:tmpl w:val="7744EE3A"/>
    <w:lvl w:ilvl="0">
      <w:start w:val="1"/>
      <w:numFmt w:val="decimal"/>
      <w:lvlText w:val="%1."/>
      <w:lvlJc w:val="left"/>
      <w:pPr>
        <w:tabs>
          <w:tab w:val="num" w:pos="643"/>
        </w:tabs>
        <w:ind w:left="643" w:hanging="360"/>
      </w:pPr>
    </w:lvl>
  </w:abstractNum>
  <w:abstractNum w:abstractNumId="4">
    <w:nsid w:val="FFFFFF80"/>
    <w:multiLevelType w:val="singleLevel"/>
    <w:tmpl w:val="5A12E8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AEC7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3C08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861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9447064"/>
    <w:lvl w:ilvl="0">
      <w:start w:val="1"/>
      <w:numFmt w:val="decimal"/>
      <w:lvlText w:val="%1."/>
      <w:lvlJc w:val="left"/>
      <w:pPr>
        <w:tabs>
          <w:tab w:val="num" w:pos="360"/>
        </w:tabs>
        <w:ind w:left="360" w:hanging="360"/>
      </w:pPr>
    </w:lvl>
  </w:abstractNum>
  <w:abstractNum w:abstractNumId="9">
    <w:nsid w:val="FFFFFF89"/>
    <w:multiLevelType w:val="singleLevel"/>
    <w:tmpl w:val="08748576"/>
    <w:lvl w:ilvl="0">
      <w:start w:val="1"/>
      <w:numFmt w:val="bullet"/>
      <w:lvlText w:val=""/>
      <w:lvlJc w:val="left"/>
      <w:pPr>
        <w:tabs>
          <w:tab w:val="num" w:pos="360"/>
        </w:tabs>
        <w:ind w:left="360" w:hanging="360"/>
      </w:pPr>
      <w:rPr>
        <w:rFonts w:ascii="Symbol" w:hAnsi="Symbol" w:hint="default"/>
      </w:rPr>
    </w:lvl>
  </w:abstractNum>
  <w:abstractNum w:abstractNumId="10">
    <w:nsid w:val="0B486BAB"/>
    <w:multiLevelType w:val="hybridMultilevel"/>
    <w:tmpl w:val="85F8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8037A1"/>
    <w:multiLevelType w:val="hybridMultilevel"/>
    <w:tmpl w:val="AD8A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864282"/>
    <w:multiLevelType w:val="hybridMultilevel"/>
    <w:tmpl w:val="5CCA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6468D1"/>
    <w:multiLevelType w:val="hybridMultilevel"/>
    <w:tmpl w:val="F3C2E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C3337D"/>
    <w:multiLevelType w:val="hybridMultilevel"/>
    <w:tmpl w:val="F1A4C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BB3"/>
    <w:rsid w:val="00004FB0"/>
    <w:rsid w:val="00014C47"/>
    <w:rsid w:val="00033E1E"/>
    <w:rsid w:val="00045A75"/>
    <w:rsid w:val="00075AB2"/>
    <w:rsid w:val="00093F94"/>
    <w:rsid w:val="000C2334"/>
    <w:rsid w:val="000F4B14"/>
    <w:rsid w:val="001037E7"/>
    <w:rsid w:val="001412D2"/>
    <w:rsid w:val="00185E4E"/>
    <w:rsid w:val="001861B4"/>
    <w:rsid w:val="001A250A"/>
    <w:rsid w:val="001E4CE9"/>
    <w:rsid w:val="001E61EB"/>
    <w:rsid w:val="0021672D"/>
    <w:rsid w:val="00243E28"/>
    <w:rsid w:val="00244407"/>
    <w:rsid w:val="00250FB6"/>
    <w:rsid w:val="0026013C"/>
    <w:rsid w:val="0029232C"/>
    <w:rsid w:val="002A7E0E"/>
    <w:rsid w:val="002D043F"/>
    <w:rsid w:val="002F617C"/>
    <w:rsid w:val="00306F35"/>
    <w:rsid w:val="00320935"/>
    <w:rsid w:val="00355CA5"/>
    <w:rsid w:val="0036088D"/>
    <w:rsid w:val="00393B10"/>
    <w:rsid w:val="003965D8"/>
    <w:rsid w:val="00397D24"/>
    <w:rsid w:val="003C6605"/>
    <w:rsid w:val="003D1313"/>
    <w:rsid w:val="003D3BB3"/>
    <w:rsid w:val="003E1131"/>
    <w:rsid w:val="003E21A5"/>
    <w:rsid w:val="003E4FB3"/>
    <w:rsid w:val="00402C72"/>
    <w:rsid w:val="00436D33"/>
    <w:rsid w:val="00443DF6"/>
    <w:rsid w:val="00447812"/>
    <w:rsid w:val="004655B9"/>
    <w:rsid w:val="0047062F"/>
    <w:rsid w:val="00472D5C"/>
    <w:rsid w:val="00490457"/>
    <w:rsid w:val="00492C84"/>
    <w:rsid w:val="004A5686"/>
    <w:rsid w:val="004A5E62"/>
    <w:rsid w:val="004C6A7A"/>
    <w:rsid w:val="004F6106"/>
    <w:rsid w:val="00522382"/>
    <w:rsid w:val="005270B8"/>
    <w:rsid w:val="0053316E"/>
    <w:rsid w:val="00544902"/>
    <w:rsid w:val="00545D19"/>
    <w:rsid w:val="005632D0"/>
    <w:rsid w:val="00563E6C"/>
    <w:rsid w:val="005666F4"/>
    <w:rsid w:val="00593AF0"/>
    <w:rsid w:val="00596323"/>
    <w:rsid w:val="005C3115"/>
    <w:rsid w:val="005C3905"/>
    <w:rsid w:val="005F6C79"/>
    <w:rsid w:val="006062A5"/>
    <w:rsid w:val="0061042F"/>
    <w:rsid w:val="006323E7"/>
    <w:rsid w:val="00691159"/>
    <w:rsid w:val="006962DA"/>
    <w:rsid w:val="0073312F"/>
    <w:rsid w:val="00735066"/>
    <w:rsid w:val="00764B03"/>
    <w:rsid w:val="00781DCF"/>
    <w:rsid w:val="00782260"/>
    <w:rsid w:val="00782A34"/>
    <w:rsid w:val="007866C7"/>
    <w:rsid w:val="007D13F6"/>
    <w:rsid w:val="007D7DA8"/>
    <w:rsid w:val="007F5304"/>
    <w:rsid w:val="007F7B28"/>
    <w:rsid w:val="00812125"/>
    <w:rsid w:val="00835BB7"/>
    <w:rsid w:val="0087443D"/>
    <w:rsid w:val="00882716"/>
    <w:rsid w:val="0089257F"/>
    <w:rsid w:val="00892A06"/>
    <w:rsid w:val="00894B08"/>
    <w:rsid w:val="008B47E1"/>
    <w:rsid w:val="008D1CC4"/>
    <w:rsid w:val="008E6CA2"/>
    <w:rsid w:val="00934131"/>
    <w:rsid w:val="00944024"/>
    <w:rsid w:val="00993E01"/>
    <w:rsid w:val="009A6F8C"/>
    <w:rsid w:val="009B11DD"/>
    <w:rsid w:val="009F3132"/>
    <w:rsid w:val="00A078EC"/>
    <w:rsid w:val="00A10ABC"/>
    <w:rsid w:val="00A51BE2"/>
    <w:rsid w:val="00A87932"/>
    <w:rsid w:val="00A9458D"/>
    <w:rsid w:val="00A962C8"/>
    <w:rsid w:val="00AE1C84"/>
    <w:rsid w:val="00AF5B34"/>
    <w:rsid w:val="00B116D0"/>
    <w:rsid w:val="00B12972"/>
    <w:rsid w:val="00B371B0"/>
    <w:rsid w:val="00B4632F"/>
    <w:rsid w:val="00B90F54"/>
    <w:rsid w:val="00BC059F"/>
    <w:rsid w:val="00BC4D64"/>
    <w:rsid w:val="00BD2FE9"/>
    <w:rsid w:val="00BD5BBA"/>
    <w:rsid w:val="00BF3C5D"/>
    <w:rsid w:val="00C0598D"/>
    <w:rsid w:val="00C05D6B"/>
    <w:rsid w:val="00C12A2C"/>
    <w:rsid w:val="00C400A1"/>
    <w:rsid w:val="00C420FB"/>
    <w:rsid w:val="00C678D0"/>
    <w:rsid w:val="00C74189"/>
    <w:rsid w:val="00C967B5"/>
    <w:rsid w:val="00CA08CA"/>
    <w:rsid w:val="00CA79F2"/>
    <w:rsid w:val="00CA7FAD"/>
    <w:rsid w:val="00CE1306"/>
    <w:rsid w:val="00D13C63"/>
    <w:rsid w:val="00D25D97"/>
    <w:rsid w:val="00D35E6A"/>
    <w:rsid w:val="00D90782"/>
    <w:rsid w:val="00DA10CC"/>
    <w:rsid w:val="00DA5D46"/>
    <w:rsid w:val="00DC0DC4"/>
    <w:rsid w:val="00DC1BD9"/>
    <w:rsid w:val="00DD6BDA"/>
    <w:rsid w:val="00DF3750"/>
    <w:rsid w:val="00E05D97"/>
    <w:rsid w:val="00E4206E"/>
    <w:rsid w:val="00E8258C"/>
    <w:rsid w:val="00E91A4F"/>
    <w:rsid w:val="00EA5987"/>
    <w:rsid w:val="00EB3937"/>
    <w:rsid w:val="00EE1F93"/>
    <w:rsid w:val="00EF28C9"/>
    <w:rsid w:val="00F16D61"/>
    <w:rsid w:val="00F27782"/>
    <w:rsid w:val="00F4188E"/>
    <w:rsid w:val="00F475C1"/>
    <w:rsid w:val="00F641EE"/>
    <w:rsid w:val="00F83025"/>
    <w:rsid w:val="00FE3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link w:val="Heading3Char"/>
    <w:unhideWhenUsed/>
    <w:qFormat/>
    <w:rsid w:val="00472D5C"/>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character" w:customStyle="1" w:styleId="Heading3Char">
    <w:name w:val="Heading 3 Char"/>
    <w:basedOn w:val="DefaultParagraphFont"/>
    <w:link w:val="Heading3"/>
    <w:rsid w:val="00472D5C"/>
    <w:rPr>
      <w:rFonts w:ascii="Arial" w:eastAsiaTheme="majorEastAsia" w:hAnsi="Arial" w:cstheme="majorBidi"/>
      <w:b/>
      <w:bCs/>
      <w:color w:val="4F81BD" w:themeColor="accent1"/>
      <w:sz w:val="24"/>
      <w:szCs w:val="24"/>
      <w:lang w:eastAsia="en-US"/>
    </w:rPr>
  </w:style>
  <w:style w:type="paragraph" w:styleId="BalloonText">
    <w:name w:val="Balloon Text"/>
    <w:basedOn w:val="Normal"/>
    <w:link w:val="BalloonTextChar"/>
    <w:rsid w:val="00F475C1"/>
    <w:rPr>
      <w:rFonts w:ascii="Tahoma" w:hAnsi="Tahoma" w:cs="Tahoma"/>
      <w:sz w:val="16"/>
      <w:szCs w:val="16"/>
    </w:rPr>
  </w:style>
  <w:style w:type="character" w:customStyle="1" w:styleId="BalloonTextChar">
    <w:name w:val="Balloon Text Char"/>
    <w:basedOn w:val="DefaultParagraphFont"/>
    <w:link w:val="BalloonText"/>
    <w:rsid w:val="00F475C1"/>
    <w:rPr>
      <w:rFonts w:ascii="Tahoma" w:hAnsi="Tahoma" w:cs="Tahoma"/>
      <w:sz w:val="16"/>
      <w:szCs w:val="16"/>
      <w:lang w:eastAsia="en-US"/>
    </w:rPr>
  </w:style>
  <w:style w:type="paragraph" w:styleId="FootnoteText">
    <w:name w:val="footnote text"/>
    <w:basedOn w:val="Normal"/>
    <w:link w:val="FootnoteTextChar"/>
    <w:rsid w:val="00B12972"/>
    <w:rPr>
      <w:sz w:val="20"/>
      <w:szCs w:val="20"/>
    </w:rPr>
  </w:style>
  <w:style w:type="character" w:customStyle="1" w:styleId="FootnoteTextChar">
    <w:name w:val="Footnote Text Char"/>
    <w:basedOn w:val="DefaultParagraphFont"/>
    <w:link w:val="FootnoteText"/>
    <w:rsid w:val="00B12972"/>
    <w:rPr>
      <w:sz w:val="20"/>
      <w:szCs w:val="20"/>
    </w:rPr>
  </w:style>
  <w:style w:type="character" w:styleId="FootnoteReference">
    <w:name w:val="footnote reference"/>
    <w:basedOn w:val="DefaultParagraphFont"/>
    <w:rsid w:val="00B12972"/>
    <w:rPr>
      <w:vertAlign w:val="superscript"/>
    </w:rPr>
  </w:style>
  <w:style w:type="character" w:styleId="Hyperlink">
    <w:name w:val="Hyperlink"/>
    <w:basedOn w:val="DefaultParagraphFont"/>
    <w:rsid w:val="00B12972"/>
    <w:rPr>
      <w:color w:val="0000FF" w:themeColor="hyperlink"/>
      <w:u w:val="single"/>
    </w:rPr>
  </w:style>
  <w:style w:type="paragraph" w:styleId="ListParagraph">
    <w:name w:val="List Paragraph"/>
    <w:basedOn w:val="Normal"/>
    <w:uiPriority w:val="34"/>
    <w:qFormat/>
    <w:rsid w:val="00F641EE"/>
    <w:pPr>
      <w:ind w:left="720"/>
      <w:contextualSpacing/>
    </w:pPr>
  </w:style>
  <w:style w:type="character" w:styleId="FollowedHyperlink">
    <w:name w:val="FollowedHyperlink"/>
    <w:basedOn w:val="DefaultParagraphFont"/>
    <w:rsid w:val="00014C47"/>
    <w:rPr>
      <w:color w:val="800080" w:themeColor="followedHyperlink"/>
      <w:u w:val="single"/>
    </w:rPr>
  </w:style>
  <w:style w:type="character" w:styleId="CommentReference">
    <w:name w:val="annotation reference"/>
    <w:basedOn w:val="DefaultParagraphFont"/>
    <w:rsid w:val="007866C7"/>
    <w:rPr>
      <w:sz w:val="16"/>
      <w:szCs w:val="16"/>
    </w:rPr>
  </w:style>
  <w:style w:type="paragraph" w:styleId="CommentText">
    <w:name w:val="annotation text"/>
    <w:basedOn w:val="Normal"/>
    <w:link w:val="CommentTextChar"/>
    <w:rsid w:val="007866C7"/>
    <w:rPr>
      <w:sz w:val="20"/>
      <w:szCs w:val="20"/>
    </w:rPr>
  </w:style>
  <w:style w:type="character" w:customStyle="1" w:styleId="CommentTextChar">
    <w:name w:val="Comment Text Char"/>
    <w:basedOn w:val="DefaultParagraphFont"/>
    <w:link w:val="CommentText"/>
    <w:rsid w:val="007866C7"/>
    <w:rPr>
      <w:sz w:val="20"/>
      <w:szCs w:val="20"/>
    </w:rPr>
  </w:style>
  <w:style w:type="paragraph" w:styleId="CommentSubject">
    <w:name w:val="annotation subject"/>
    <w:basedOn w:val="CommentText"/>
    <w:next w:val="CommentText"/>
    <w:link w:val="CommentSubjectChar"/>
    <w:rsid w:val="007866C7"/>
    <w:rPr>
      <w:b/>
      <w:bCs/>
    </w:rPr>
  </w:style>
  <w:style w:type="character" w:customStyle="1" w:styleId="CommentSubjectChar">
    <w:name w:val="Comment Subject Char"/>
    <w:basedOn w:val="CommentTextChar"/>
    <w:link w:val="CommentSubject"/>
    <w:rsid w:val="007866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link w:val="Heading3Char"/>
    <w:unhideWhenUsed/>
    <w:qFormat/>
    <w:rsid w:val="00472D5C"/>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character" w:customStyle="1" w:styleId="Heading3Char">
    <w:name w:val="Heading 3 Char"/>
    <w:basedOn w:val="DefaultParagraphFont"/>
    <w:link w:val="Heading3"/>
    <w:rsid w:val="00472D5C"/>
    <w:rPr>
      <w:rFonts w:ascii="Arial" w:eastAsiaTheme="majorEastAsia" w:hAnsi="Arial" w:cstheme="majorBidi"/>
      <w:b/>
      <w:bCs/>
      <w:color w:val="4F81BD" w:themeColor="accent1"/>
      <w:sz w:val="24"/>
      <w:szCs w:val="24"/>
      <w:lang w:eastAsia="en-US"/>
    </w:rPr>
  </w:style>
  <w:style w:type="paragraph" w:styleId="BalloonText">
    <w:name w:val="Balloon Text"/>
    <w:basedOn w:val="Normal"/>
    <w:link w:val="BalloonTextChar"/>
    <w:rsid w:val="00F475C1"/>
    <w:rPr>
      <w:rFonts w:ascii="Tahoma" w:hAnsi="Tahoma" w:cs="Tahoma"/>
      <w:sz w:val="16"/>
      <w:szCs w:val="16"/>
    </w:rPr>
  </w:style>
  <w:style w:type="character" w:customStyle="1" w:styleId="BalloonTextChar">
    <w:name w:val="Balloon Text Char"/>
    <w:basedOn w:val="DefaultParagraphFont"/>
    <w:link w:val="BalloonText"/>
    <w:rsid w:val="00F475C1"/>
    <w:rPr>
      <w:rFonts w:ascii="Tahoma" w:hAnsi="Tahoma" w:cs="Tahoma"/>
      <w:sz w:val="16"/>
      <w:szCs w:val="16"/>
      <w:lang w:eastAsia="en-US"/>
    </w:rPr>
  </w:style>
  <w:style w:type="paragraph" w:styleId="FootnoteText">
    <w:name w:val="footnote text"/>
    <w:basedOn w:val="Normal"/>
    <w:link w:val="FootnoteTextChar"/>
    <w:rsid w:val="00B12972"/>
    <w:rPr>
      <w:sz w:val="20"/>
      <w:szCs w:val="20"/>
    </w:rPr>
  </w:style>
  <w:style w:type="character" w:customStyle="1" w:styleId="FootnoteTextChar">
    <w:name w:val="Footnote Text Char"/>
    <w:basedOn w:val="DefaultParagraphFont"/>
    <w:link w:val="FootnoteText"/>
    <w:rsid w:val="00B12972"/>
    <w:rPr>
      <w:sz w:val="20"/>
      <w:szCs w:val="20"/>
    </w:rPr>
  </w:style>
  <w:style w:type="character" w:styleId="FootnoteReference">
    <w:name w:val="footnote reference"/>
    <w:basedOn w:val="DefaultParagraphFont"/>
    <w:rsid w:val="00B12972"/>
    <w:rPr>
      <w:vertAlign w:val="superscript"/>
    </w:rPr>
  </w:style>
  <w:style w:type="character" w:styleId="Hyperlink">
    <w:name w:val="Hyperlink"/>
    <w:basedOn w:val="DefaultParagraphFont"/>
    <w:rsid w:val="00B12972"/>
    <w:rPr>
      <w:color w:val="0000FF" w:themeColor="hyperlink"/>
      <w:u w:val="single"/>
    </w:rPr>
  </w:style>
  <w:style w:type="paragraph" w:styleId="ListParagraph">
    <w:name w:val="List Paragraph"/>
    <w:basedOn w:val="Normal"/>
    <w:uiPriority w:val="34"/>
    <w:qFormat/>
    <w:rsid w:val="00F641EE"/>
    <w:pPr>
      <w:ind w:left="720"/>
      <w:contextualSpacing/>
    </w:pPr>
  </w:style>
  <w:style w:type="character" w:styleId="FollowedHyperlink">
    <w:name w:val="FollowedHyperlink"/>
    <w:basedOn w:val="DefaultParagraphFont"/>
    <w:rsid w:val="00014C47"/>
    <w:rPr>
      <w:color w:val="800080" w:themeColor="followedHyperlink"/>
      <w:u w:val="single"/>
    </w:rPr>
  </w:style>
  <w:style w:type="character" w:styleId="CommentReference">
    <w:name w:val="annotation reference"/>
    <w:basedOn w:val="DefaultParagraphFont"/>
    <w:rsid w:val="007866C7"/>
    <w:rPr>
      <w:sz w:val="16"/>
      <w:szCs w:val="16"/>
    </w:rPr>
  </w:style>
  <w:style w:type="paragraph" w:styleId="CommentText">
    <w:name w:val="annotation text"/>
    <w:basedOn w:val="Normal"/>
    <w:link w:val="CommentTextChar"/>
    <w:rsid w:val="007866C7"/>
    <w:rPr>
      <w:sz w:val="20"/>
      <w:szCs w:val="20"/>
    </w:rPr>
  </w:style>
  <w:style w:type="character" w:customStyle="1" w:styleId="CommentTextChar">
    <w:name w:val="Comment Text Char"/>
    <w:basedOn w:val="DefaultParagraphFont"/>
    <w:link w:val="CommentText"/>
    <w:rsid w:val="007866C7"/>
    <w:rPr>
      <w:sz w:val="20"/>
      <w:szCs w:val="20"/>
    </w:rPr>
  </w:style>
  <w:style w:type="paragraph" w:styleId="CommentSubject">
    <w:name w:val="annotation subject"/>
    <w:basedOn w:val="CommentText"/>
    <w:next w:val="CommentText"/>
    <w:link w:val="CommentSubjectChar"/>
    <w:rsid w:val="007866C7"/>
    <w:rPr>
      <w:b/>
      <w:bCs/>
    </w:rPr>
  </w:style>
  <w:style w:type="character" w:customStyle="1" w:styleId="CommentSubjectChar">
    <w:name w:val="Comment Subject Char"/>
    <w:basedOn w:val="CommentTextChar"/>
    <w:link w:val="CommentSubject"/>
    <w:rsid w:val="007866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abnfs02\public\Departments\Communications%20and%20Campaigns\Campaigns\ESA\medical%20evidence\GP%20survey%20data%202804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abnfs02\public\Departments\Communications%20and%20Campaigns\Campaigns\ESA\medical%20evidence\GP%20survey%20data%202804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abnfs02\public\Departments\Communications%20and%20Campaigns\Campaigns\ESA\medical%20evidence\GP%20survey%20data%200705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abnfs02\public\Departments\Communications%20and%20Campaigns\Campaigns\ESA\medical%20evidence\GP%20survey%20data%202804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abnfs02\public\Departments\Communications%20and%20Campaigns\Campaigns\ESA\medical%20evidence\GP%20survey%20data%200705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abnfs02\public\Departments\Communications%20and%20Campaigns\Campaigns\ESA\medical%20evidence\GP%20survey%20data%202804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en-GB" sz="1200"/>
              <a:t>As standard practice, do you provide medical evidence directly to patients upon request? </a:t>
            </a:r>
          </a:p>
        </c:rich>
      </c:tx>
      <c:overlay val="1"/>
    </c:title>
    <c:autoTitleDeleted val="0"/>
    <c:plotArea>
      <c:layout>
        <c:manualLayout>
          <c:layoutTarget val="inner"/>
          <c:xMode val="edge"/>
          <c:yMode val="edge"/>
          <c:x val="0.1650263968720157"/>
          <c:y val="0.24332451607611549"/>
          <c:w val="0.91160772533491119"/>
          <c:h val="0.63582494923687771"/>
        </c:manualLayout>
      </c:layout>
      <c:pieChart>
        <c:varyColors val="1"/>
        <c:ser>
          <c:idx val="0"/>
          <c:order val="0"/>
          <c:dLbls>
            <c:dLblPos val="ctr"/>
            <c:showLegendKey val="0"/>
            <c:showVal val="1"/>
            <c:showCatName val="0"/>
            <c:showSerName val="0"/>
            <c:showPercent val="0"/>
            <c:showBubbleSize val="0"/>
            <c:showLeaderLines val="1"/>
          </c:dLbls>
          <c:cat>
            <c:strRef>
              <c:f>Charts!$A$4:$A$6</c:f>
              <c:strCache>
                <c:ptCount val="3"/>
                <c:pt idx="0">
                  <c:v>Yes</c:v>
                </c:pt>
                <c:pt idx="1">
                  <c:v>To some groups of patients only</c:v>
                </c:pt>
                <c:pt idx="2">
                  <c:v>No</c:v>
                </c:pt>
              </c:strCache>
            </c:strRef>
          </c:cat>
          <c:val>
            <c:numRef>
              <c:f>Charts!$B$4:$B$6</c:f>
              <c:numCache>
                <c:formatCode>0%</c:formatCode>
                <c:ptCount val="3"/>
                <c:pt idx="0">
                  <c:v>0.70676691729323304</c:v>
                </c:pt>
                <c:pt idx="1">
                  <c:v>0.14285714285714285</c:v>
                </c:pt>
                <c:pt idx="2">
                  <c:v>0.15037593984962405</c:v>
                </c:pt>
              </c:numCache>
            </c:numRef>
          </c:val>
        </c:ser>
        <c:dLbls>
          <c:dLblPos val="ctr"/>
          <c:showLegendKey val="0"/>
          <c:showVal val="1"/>
          <c:showCatName val="0"/>
          <c:showSerName val="0"/>
          <c:showPercent val="0"/>
          <c:showBubbleSize val="0"/>
          <c:showLeaderLines val="1"/>
        </c:dLbls>
        <c:firstSliceAng val="0"/>
      </c:pieChart>
    </c:plotArea>
    <c:legend>
      <c:legendPos val="r"/>
      <c:layout>
        <c:manualLayout>
          <c:xMode val="edge"/>
          <c:yMode val="edge"/>
          <c:x val="6.2941674624768018E-2"/>
          <c:y val="0.86409528340561126"/>
          <c:w val="0.89856932623306485"/>
          <c:h val="0.11160216019692669"/>
        </c:manualLayout>
      </c:layout>
      <c:overlay val="0"/>
    </c:legend>
    <c:plotVisOnly val="1"/>
    <c:dispBlanksAs val="gap"/>
    <c:showDLblsOverMax val="0"/>
  </c:chart>
  <c:spPr>
    <a:effectLst>
      <a:outerShdw blurRad="50800" dist="38100" dir="2700000" algn="tl" rotWithShape="0">
        <a:prstClr val="black">
          <a:alpha val="40000"/>
        </a:prstClr>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sz="1200"/>
            </a:pPr>
            <a:r>
              <a:rPr lang="en-GB" sz="1200"/>
              <a:t>Do you charge for this evidence?</a:t>
            </a:r>
          </a:p>
        </c:rich>
      </c:tx>
      <c:layout>
        <c:manualLayout>
          <c:xMode val="edge"/>
          <c:yMode val="edge"/>
          <c:x val="0.1112266695829688"/>
          <c:y val="5.9202507400313423E-2"/>
        </c:manualLayout>
      </c:layout>
      <c:overlay val="0"/>
    </c:title>
    <c:autoTitleDeleted val="0"/>
    <c:plotArea>
      <c:layout>
        <c:manualLayout>
          <c:layoutTarget val="inner"/>
          <c:xMode val="edge"/>
          <c:yMode val="edge"/>
          <c:x val="7.7844488188976366E-2"/>
          <c:y val="0.19103297269801922"/>
          <c:w val="0.84065729741393114"/>
          <c:h val="0.6644179756718227"/>
        </c:manualLayout>
      </c:layout>
      <c:pieChart>
        <c:varyColors val="1"/>
        <c:ser>
          <c:idx val="0"/>
          <c:order val="0"/>
          <c:dLbls>
            <c:showLegendKey val="0"/>
            <c:showVal val="0"/>
            <c:showCatName val="0"/>
            <c:showSerName val="0"/>
            <c:showPercent val="1"/>
            <c:showBubbleSize val="0"/>
            <c:showLeaderLines val="1"/>
          </c:dLbls>
          <c:cat>
            <c:strRef>
              <c:f>Charts!$A$26:$A$28</c:f>
              <c:strCache>
                <c:ptCount val="3"/>
                <c:pt idx="0">
                  <c:v>Yes</c:v>
                </c:pt>
                <c:pt idx="1">
                  <c:v>I charge some groups of patients only</c:v>
                </c:pt>
                <c:pt idx="2">
                  <c:v>No</c:v>
                </c:pt>
              </c:strCache>
            </c:strRef>
          </c:cat>
          <c:val>
            <c:numRef>
              <c:f>Charts!$B$26:$B$28</c:f>
              <c:numCache>
                <c:formatCode>0%</c:formatCode>
                <c:ptCount val="3"/>
                <c:pt idx="0">
                  <c:v>0.55000000000000004</c:v>
                </c:pt>
                <c:pt idx="1">
                  <c:v>0.28999999999999998</c:v>
                </c:pt>
                <c:pt idx="2">
                  <c:v>0.27</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6.5516640412232263E-2"/>
          <c:y val="0.82767017067029058"/>
          <c:w val="0.87217830911791128"/>
          <c:h val="0.14862868419811617"/>
        </c:manualLayout>
      </c:layout>
      <c:overlay val="0"/>
    </c:legend>
    <c:plotVisOnly val="1"/>
    <c:dispBlanksAs val="gap"/>
    <c:showDLblsOverMax val="0"/>
  </c:chart>
  <c:spPr>
    <a:effectLst>
      <a:outerShdw blurRad="50800" dist="38100" dir="2700000" algn="tl" rotWithShape="0">
        <a:prstClr val="black">
          <a:alpha val="40000"/>
        </a:prstClr>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en-GB" sz="1200"/>
              <a:t>Charges</a:t>
            </a:r>
          </a:p>
        </c:rich>
      </c:tx>
      <c:overlay val="1"/>
    </c:title>
    <c:autoTitleDeleted val="0"/>
    <c:plotArea>
      <c:layout>
        <c:manualLayout>
          <c:layoutTarget val="inner"/>
          <c:xMode val="edge"/>
          <c:yMode val="edge"/>
          <c:x val="0.14580711584826139"/>
          <c:y val="0.1152681813574901"/>
          <c:w val="0.73568343938193037"/>
          <c:h val="0.69421348962538132"/>
        </c:manualLayout>
      </c:layout>
      <c:pieChart>
        <c:varyColors val="1"/>
        <c:ser>
          <c:idx val="0"/>
          <c:order val="0"/>
          <c:dLbls>
            <c:dLbl>
              <c:idx val="0"/>
              <c:layout>
                <c:manualLayout>
                  <c:x val="3.9212345889332034E-3"/>
                  <c:y val="2.3567968861811662E-2"/>
                </c:manualLayout>
              </c:layout>
              <c:dLblPos val="bestFit"/>
              <c:showLegendKey val="0"/>
              <c:showVal val="1"/>
              <c:showCatName val="0"/>
              <c:showSerName val="0"/>
              <c:showPercent val="0"/>
              <c:showBubbleSize val="0"/>
            </c:dLbl>
            <c:dLbl>
              <c:idx val="1"/>
              <c:layout>
                <c:manualLayout>
                  <c:x val="-0.3415881222293411"/>
                  <c:y val="-0.10091883753756872"/>
                </c:manualLayout>
              </c:layout>
              <c:dLblPos val="bestFit"/>
              <c:showLegendKey val="0"/>
              <c:showVal val="1"/>
              <c:showCatName val="0"/>
              <c:showSerName val="0"/>
              <c:showPercent val="0"/>
              <c:showBubbleSize val="0"/>
            </c:dLbl>
            <c:dLbl>
              <c:idx val="2"/>
              <c:layout>
                <c:manualLayout>
                  <c:x val="1.6908194669224507E-2"/>
                  <c:y val="1.2552371705107661E-2"/>
                </c:manualLayout>
              </c:layout>
              <c:dLblPos val="bestFit"/>
              <c:showLegendKey val="0"/>
              <c:showVal val="1"/>
              <c:showCatName val="0"/>
              <c:showSerName val="0"/>
              <c:showPercent val="0"/>
              <c:showBubbleSize val="0"/>
            </c:dLbl>
            <c:dLbl>
              <c:idx val="3"/>
              <c:layout>
                <c:manualLayout>
                  <c:x val="2.9097427199028209E-2"/>
                  <c:y val="2.4822013374603966E-2"/>
                </c:manualLayout>
              </c:layout>
              <c:dLblPos val="bestFit"/>
              <c:showLegendKey val="0"/>
              <c:showVal val="1"/>
              <c:showCatName val="0"/>
              <c:showSerName val="0"/>
              <c:showPercent val="0"/>
              <c:showBubbleSize val="0"/>
            </c:dLbl>
            <c:dLbl>
              <c:idx val="4"/>
              <c:layout>
                <c:manualLayout>
                  <c:x val="7.6732205750008331E-3"/>
                  <c:y val="3.7146376986476666E-2"/>
                </c:manualLayout>
              </c:layout>
              <c:dLblPos val="bestFit"/>
              <c:showLegendKey val="0"/>
              <c:showVal val="1"/>
              <c:showCatName val="0"/>
              <c:showSerName val="0"/>
              <c:showPercent val="0"/>
              <c:showBubbleSize val="0"/>
            </c:dLbl>
            <c:dLblPos val="ctr"/>
            <c:showLegendKey val="0"/>
            <c:showVal val="1"/>
            <c:showCatName val="0"/>
            <c:showSerName val="0"/>
            <c:showPercent val="0"/>
            <c:showBubbleSize val="0"/>
            <c:showLeaderLines val="1"/>
          </c:dLbls>
          <c:cat>
            <c:strRef>
              <c:f>Charts!$A$118:$A$122</c:f>
              <c:strCache>
                <c:ptCount val="5"/>
                <c:pt idx="0">
                  <c:v>£10 or under</c:v>
                </c:pt>
                <c:pt idx="1">
                  <c:v>£10.01 to £50</c:v>
                </c:pt>
                <c:pt idx="2">
                  <c:v>£50.01 to £100</c:v>
                </c:pt>
                <c:pt idx="3">
                  <c:v>More than £100</c:v>
                </c:pt>
                <c:pt idx="4">
                  <c:v>Other</c:v>
                </c:pt>
              </c:strCache>
            </c:strRef>
          </c:cat>
          <c:val>
            <c:numRef>
              <c:f>Charts!$B$118:$B$122</c:f>
              <c:numCache>
                <c:formatCode>0%</c:formatCode>
                <c:ptCount val="5"/>
                <c:pt idx="0">
                  <c:v>0.19148936170212766</c:v>
                </c:pt>
                <c:pt idx="1">
                  <c:v>0.6063829787234043</c:v>
                </c:pt>
                <c:pt idx="2">
                  <c:v>5.3191489361702128E-2</c:v>
                </c:pt>
                <c:pt idx="3">
                  <c:v>2.1276595744680851E-2</c:v>
                </c:pt>
                <c:pt idx="4">
                  <c:v>0.1276595744680851</c:v>
                </c:pt>
              </c:numCache>
            </c:numRef>
          </c:val>
        </c:ser>
        <c:dLbls>
          <c:dLblPos val="ctr"/>
          <c:showLegendKey val="0"/>
          <c:showVal val="1"/>
          <c:showCatName val="0"/>
          <c:showSerName val="0"/>
          <c:showPercent val="0"/>
          <c:showBubbleSize val="0"/>
          <c:showLeaderLines val="1"/>
        </c:dLbls>
        <c:firstSliceAng val="0"/>
      </c:pieChart>
    </c:plotArea>
    <c:legend>
      <c:legendPos val="r"/>
      <c:layout>
        <c:manualLayout>
          <c:xMode val="edge"/>
          <c:yMode val="edge"/>
          <c:x val="4.8850257576374824E-2"/>
          <c:y val="0.85335772775407071"/>
          <c:w val="0.91352101095547444"/>
          <c:h val="0.14571520030864565"/>
        </c:manualLayout>
      </c:layout>
      <c:overlay val="0"/>
    </c:legend>
    <c:plotVisOnly val="1"/>
    <c:dispBlanksAs val="gap"/>
    <c:showDLblsOverMax val="0"/>
  </c:chart>
  <c:spPr>
    <a:effectLst>
      <a:outerShdw blurRad="50800" dist="38100" dir="2700000" algn="tl" rotWithShape="0">
        <a:prstClr val="black">
          <a:alpha val="40000"/>
        </a:prstClr>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GB" sz="1200"/>
              <a:t>When providing evidence directly to a patient, what form does your medical evidence usually take?</a:t>
            </a:r>
          </a:p>
        </c:rich>
      </c:tx>
      <c:layout>
        <c:manualLayout>
          <c:xMode val="edge"/>
          <c:yMode val="edge"/>
          <c:x val="0.13770754522733064"/>
          <c:y val="0"/>
        </c:manualLayout>
      </c:layout>
      <c:overlay val="1"/>
    </c:title>
    <c:autoTitleDeleted val="0"/>
    <c:plotArea>
      <c:layout>
        <c:manualLayout>
          <c:layoutTarget val="inner"/>
          <c:xMode val="edge"/>
          <c:yMode val="edge"/>
          <c:x val="0.47706850607193946"/>
          <c:y val="0.1491300745650373"/>
          <c:w val="0.47450911130562712"/>
          <c:h val="0.74709339874354974"/>
        </c:manualLayout>
      </c:layout>
      <c:barChart>
        <c:barDir val="bar"/>
        <c:grouping val="clustered"/>
        <c:varyColors val="0"/>
        <c:ser>
          <c:idx val="0"/>
          <c:order val="0"/>
          <c:invertIfNegative val="0"/>
          <c:cat>
            <c:strRef>
              <c:f>Charts!$A$138:$A$143</c:f>
              <c:strCache>
                <c:ptCount val="6"/>
                <c:pt idx="0">
                  <c:v>Standard letter assessing patient against WCA descriptors</c:v>
                </c:pt>
                <c:pt idx="1">
                  <c:v>Other</c:v>
                </c:pt>
                <c:pt idx="2">
                  <c:v>Freeform letter assessing patients fitness to work</c:v>
                </c:pt>
                <c:pt idx="3">
                  <c:v>Filling in the ESA113 form</c:v>
                </c:pt>
                <c:pt idx="4">
                  <c:v>Freeform letter outlining patients condition</c:v>
                </c:pt>
                <c:pt idx="5">
                  <c:v>Print out of medical records</c:v>
                </c:pt>
              </c:strCache>
            </c:strRef>
          </c:cat>
          <c:val>
            <c:numRef>
              <c:f>Charts!$B$138:$B$143</c:f>
              <c:numCache>
                <c:formatCode>0%</c:formatCode>
                <c:ptCount val="6"/>
                <c:pt idx="0">
                  <c:v>0.15789473684210525</c:v>
                </c:pt>
                <c:pt idx="1">
                  <c:v>0.23684210526315788</c:v>
                </c:pt>
                <c:pt idx="2">
                  <c:v>0.34210526315789475</c:v>
                </c:pt>
                <c:pt idx="3">
                  <c:v>0.47368421052631576</c:v>
                </c:pt>
                <c:pt idx="4">
                  <c:v>0.76315789473684215</c:v>
                </c:pt>
                <c:pt idx="5">
                  <c:v>0.80263157894736847</c:v>
                </c:pt>
              </c:numCache>
            </c:numRef>
          </c:val>
        </c:ser>
        <c:dLbls>
          <c:showLegendKey val="0"/>
          <c:showVal val="0"/>
          <c:showCatName val="0"/>
          <c:showSerName val="0"/>
          <c:showPercent val="0"/>
          <c:showBubbleSize val="0"/>
        </c:dLbls>
        <c:gapWidth val="150"/>
        <c:axId val="123257984"/>
        <c:axId val="123259520"/>
      </c:barChart>
      <c:catAx>
        <c:axId val="123257984"/>
        <c:scaling>
          <c:orientation val="minMax"/>
        </c:scaling>
        <c:delete val="0"/>
        <c:axPos val="l"/>
        <c:majorTickMark val="out"/>
        <c:minorTickMark val="none"/>
        <c:tickLblPos val="nextTo"/>
        <c:crossAx val="123259520"/>
        <c:crosses val="autoZero"/>
        <c:auto val="1"/>
        <c:lblAlgn val="ctr"/>
        <c:lblOffset val="100"/>
        <c:noMultiLvlLbl val="0"/>
      </c:catAx>
      <c:valAx>
        <c:axId val="123259520"/>
        <c:scaling>
          <c:orientation val="minMax"/>
        </c:scaling>
        <c:delete val="0"/>
        <c:axPos val="b"/>
        <c:majorGridlines/>
        <c:numFmt formatCode="0%" sourceLinked="1"/>
        <c:majorTickMark val="out"/>
        <c:minorTickMark val="none"/>
        <c:tickLblPos val="nextTo"/>
        <c:crossAx val="123257984"/>
        <c:crosses val="autoZero"/>
        <c:crossBetween val="between"/>
      </c:valAx>
    </c:plotArea>
    <c:plotVisOnly val="1"/>
    <c:dispBlanksAs val="gap"/>
    <c:showDLblsOverMax val="0"/>
  </c:chart>
  <c:spPr>
    <a:effectLst>
      <a:outerShdw blurRad="50800" dist="38100" dir="2700000" algn="tl" rotWithShape="0">
        <a:prstClr val="black">
          <a:alpha val="40000"/>
        </a:prstClr>
      </a:outerShdw>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GB" sz="1200"/>
              <a:t>Average numbers of requests for medical evidence</a:t>
            </a:r>
          </a:p>
        </c:rich>
      </c:tx>
      <c:overlay val="1"/>
    </c:title>
    <c:autoTitleDeleted val="0"/>
    <c:plotArea>
      <c:layout>
        <c:manualLayout>
          <c:layoutTarget val="inner"/>
          <c:xMode val="edge"/>
          <c:yMode val="edge"/>
          <c:x val="0.4872591956001886"/>
          <c:y val="0.14398848092152627"/>
          <c:w val="0.47402257768013911"/>
          <c:h val="0.73577320113603506"/>
        </c:manualLayout>
      </c:layout>
      <c:barChart>
        <c:barDir val="bar"/>
        <c:grouping val="clustered"/>
        <c:varyColors val="0"/>
        <c:ser>
          <c:idx val="0"/>
          <c:order val="0"/>
          <c:invertIfNegative val="0"/>
          <c:cat>
            <c:strRef>
              <c:f>charts2!$A$6:$A$9</c:f>
              <c:strCache>
                <c:ptCount val="4"/>
                <c:pt idx="0">
                  <c:v>Approx. no. of requests for additional medical evidence from DWP (FRR2 forms)</c:v>
                </c:pt>
                <c:pt idx="1">
                  <c:v>Approx. no. of requests for medical evidence from patients</c:v>
                </c:pt>
                <c:pt idx="2">
                  <c:v>Approx. no. of requests for medical evidence to support an appeal from patients </c:v>
                </c:pt>
                <c:pt idx="3">
                  <c:v>Approx. no. of requests for medical evidence from DWP (ESA 113)</c:v>
                </c:pt>
              </c:strCache>
            </c:strRef>
          </c:cat>
          <c:val>
            <c:numRef>
              <c:f>charts2!$B$6:$B$9</c:f>
              <c:numCache>
                <c:formatCode>0</c:formatCode>
                <c:ptCount val="4"/>
                <c:pt idx="0">
                  <c:v>17.985714285714284</c:v>
                </c:pt>
                <c:pt idx="1">
                  <c:v>25.762499999999999</c:v>
                </c:pt>
                <c:pt idx="2">
                  <c:v>29.512499999999999</c:v>
                </c:pt>
                <c:pt idx="3">
                  <c:v>69.479166666666671</c:v>
                </c:pt>
              </c:numCache>
            </c:numRef>
          </c:val>
        </c:ser>
        <c:dLbls>
          <c:showLegendKey val="0"/>
          <c:showVal val="0"/>
          <c:showCatName val="0"/>
          <c:showSerName val="0"/>
          <c:showPercent val="0"/>
          <c:showBubbleSize val="0"/>
        </c:dLbls>
        <c:gapWidth val="150"/>
        <c:axId val="123267328"/>
        <c:axId val="134606848"/>
      </c:barChart>
      <c:catAx>
        <c:axId val="123267328"/>
        <c:scaling>
          <c:orientation val="minMax"/>
        </c:scaling>
        <c:delete val="0"/>
        <c:axPos val="l"/>
        <c:majorTickMark val="out"/>
        <c:minorTickMark val="none"/>
        <c:tickLblPos val="nextTo"/>
        <c:crossAx val="134606848"/>
        <c:crosses val="autoZero"/>
        <c:auto val="1"/>
        <c:lblAlgn val="ctr"/>
        <c:lblOffset val="100"/>
        <c:noMultiLvlLbl val="0"/>
      </c:catAx>
      <c:valAx>
        <c:axId val="134606848"/>
        <c:scaling>
          <c:orientation val="minMax"/>
        </c:scaling>
        <c:delete val="0"/>
        <c:axPos val="b"/>
        <c:majorGridlines/>
        <c:numFmt formatCode="0" sourceLinked="1"/>
        <c:majorTickMark val="out"/>
        <c:minorTickMark val="none"/>
        <c:tickLblPos val="nextTo"/>
        <c:crossAx val="123267328"/>
        <c:crosses val="autoZero"/>
        <c:crossBetween val="between"/>
        <c:majorUnit val="10"/>
      </c:valAx>
    </c:plotArea>
    <c:plotVisOnly val="1"/>
    <c:dispBlanksAs val="gap"/>
    <c:showDLblsOverMax val="0"/>
  </c:chart>
  <c:spPr>
    <a:effectLst>
      <a:outerShdw blurRad="50800" dist="38100" dir="2700000" algn="tl" rotWithShape="0">
        <a:prstClr val="black">
          <a:alpha val="40000"/>
        </a:prstClr>
      </a:outerShdw>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GB" sz="1200"/>
              <a:t>Decision-makers regarding the provision of medical evidence</a:t>
            </a:r>
          </a:p>
        </c:rich>
      </c:tx>
      <c:overlay val="1"/>
    </c:title>
    <c:autoTitleDeleted val="0"/>
    <c:plotArea>
      <c:layout>
        <c:manualLayout>
          <c:layoutTarget val="inner"/>
          <c:xMode val="edge"/>
          <c:yMode val="edge"/>
          <c:x val="0.45574292236522024"/>
          <c:y val="0.12777919754663941"/>
          <c:w val="0.49633669556398752"/>
          <c:h val="0.74417759497415248"/>
        </c:manualLayout>
      </c:layout>
      <c:barChart>
        <c:barDir val="bar"/>
        <c:grouping val="clustered"/>
        <c:varyColors val="0"/>
        <c:ser>
          <c:idx val="0"/>
          <c:order val="0"/>
          <c:invertIfNegative val="0"/>
          <c:cat>
            <c:strRef>
              <c:f>'[GP survey data 280414.xlsx]Charts'!$A$77:$A$85</c:f>
              <c:strCache>
                <c:ptCount val="9"/>
                <c:pt idx="0">
                  <c:v>Health board/Health and Wellbeing board</c:v>
                </c:pt>
                <c:pt idx="1">
                  <c:v>Local Authority</c:v>
                </c:pt>
                <c:pt idx="2">
                  <c:v>Central Government</c:v>
                </c:pt>
                <c:pt idx="3">
                  <c:v>Clinical Commissioning Group (CCG)</c:v>
                </c:pt>
                <c:pt idx="4">
                  <c:v>Local Medical Committee</c:v>
                </c:pt>
                <c:pt idx="5">
                  <c:v>GP cluster</c:v>
                </c:pt>
                <c:pt idx="6">
                  <c:v>Other </c:v>
                </c:pt>
                <c:pt idx="7">
                  <c:v>Individual</c:v>
                </c:pt>
                <c:pt idx="8">
                  <c:v>Practice</c:v>
                </c:pt>
              </c:strCache>
            </c:strRef>
          </c:cat>
          <c:val>
            <c:numRef>
              <c:f>'[GP survey data 280414.xlsx]Charts'!$B$77:$B$85</c:f>
              <c:numCache>
                <c:formatCode>0%</c:formatCode>
                <c:ptCount val="9"/>
                <c:pt idx="0">
                  <c:v>1.5789473684210527E-2</c:v>
                </c:pt>
                <c:pt idx="1">
                  <c:v>1.5789473684210527E-2</c:v>
                </c:pt>
                <c:pt idx="2">
                  <c:v>3.6842105263157891E-2</c:v>
                </c:pt>
                <c:pt idx="3">
                  <c:v>4.736842105263158E-2</c:v>
                </c:pt>
                <c:pt idx="4">
                  <c:v>5.2631578947368418E-2</c:v>
                </c:pt>
                <c:pt idx="5">
                  <c:v>5.2631578947368418E-2</c:v>
                </c:pt>
                <c:pt idx="6">
                  <c:v>0.10526315789473684</c:v>
                </c:pt>
                <c:pt idx="7">
                  <c:v>0.24736842105263157</c:v>
                </c:pt>
                <c:pt idx="8">
                  <c:v>0.4263157894736842</c:v>
                </c:pt>
              </c:numCache>
            </c:numRef>
          </c:val>
        </c:ser>
        <c:dLbls>
          <c:showLegendKey val="0"/>
          <c:showVal val="0"/>
          <c:showCatName val="0"/>
          <c:showSerName val="0"/>
          <c:showPercent val="0"/>
          <c:showBubbleSize val="0"/>
        </c:dLbls>
        <c:gapWidth val="150"/>
        <c:axId val="136416640"/>
        <c:axId val="165049472"/>
      </c:barChart>
      <c:catAx>
        <c:axId val="136416640"/>
        <c:scaling>
          <c:orientation val="minMax"/>
        </c:scaling>
        <c:delete val="0"/>
        <c:axPos val="l"/>
        <c:majorTickMark val="out"/>
        <c:minorTickMark val="none"/>
        <c:tickLblPos val="nextTo"/>
        <c:crossAx val="165049472"/>
        <c:crosses val="autoZero"/>
        <c:auto val="1"/>
        <c:lblAlgn val="ctr"/>
        <c:lblOffset val="100"/>
        <c:noMultiLvlLbl val="0"/>
      </c:catAx>
      <c:valAx>
        <c:axId val="165049472"/>
        <c:scaling>
          <c:orientation val="minMax"/>
        </c:scaling>
        <c:delete val="0"/>
        <c:axPos val="b"/>
        <c:majorGridlines/>
        <c:numFmt formatCode="0%" sourceLinked="1"/>
        <c:majorTickMark val="out"/>
        <c:minorTickMark val="none"/>
        <c:tickLblPos val="nextTo"/>
        <c:crossAx val="136416640"/>
        <c:crosses val="autoZero"/>
        <c:crossBetween val="between"/>
      </c:valAx>
    </c:plotArea>
    <c:plotVisOnly val="1"/>
    <c:dispBlanksAs val="gap"/>
    <c:showDLblsOverMax val="0"/>
  </c:chart>
  <c:spPr>
    <a:effectLst>
      <a:outerShdw blurRad="50800" dist="38100" dir="2700000" algn="tl" rotWithShape="0">
        <a:prstClr val="black">
          <a:alpha val="40000"/>
        </a:prstClr>
      </a:outerShdw>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A20B9-B77D-4FA0-9F73-F8DB40D4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CAB</Company>
  <LinksUpToDate>false</LinksUpToDate>
  <CharactersWithSpaces>16155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Box, Kierra</dc:creator>
  <cp:lastModifiedBy>adviser</cp:lastModifiedBy>
  <cp:revision>2</cp:revision>
  <cp:lastPrinted>2014-05-14T13:15:00Z</cp:lastPrinted>
  <dcterms:created xsi:type="dcterms:W3CDTF">2014-05-23T13:38:00Z</dcterms:created>
  <dcterms:modified xsi:type="dcterms:W3CDTF">2014-05-23T13:38:00Z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SecurityClassification">
    <vt:lpwstr>UNCLASSIFIED</vt:lpwstr>
  </property>
  <property fmtid="{D5CDD505-2E9C-101B-9397-08002B2CF9AE}" pid="3" name="PM_Qualifier">
    <vt:lpwstr/>
  </property>
  <property fmtid="{D5CDD505-2E9C-101B-9397-08002B2CF9AE}" pid="4" name="PM_DisplayValueSecClassificationWithQualifier">
    <vt:lpwstr>UNCLASSIFIED</vt:lpwstr>
  </property>
  <property fmtid="{D5CDD505-2E9C-101B-9397-08002B2CF9AE}" pid="5" name="PM_InsertionValue">
    <vt:lpwstr>UNCLASSIFIED</vt:lpwstr>
  </property>
  <property fmtid="{D5CDD505-2E9C-101B-9397-08002B2CF9AE}" pid="6" name="PM_Originator_Hash_SHA1">
    <vt:lpwstr>839A64547BD075E0A5CCCF5C259DF60C497B600B</vt:lpwstr>
  </property>
  <property fmtid="{D5CDD505-2E9C-101B-9397-08002B2CF9AE}" pid="7" name="PM_Hash_Version">
    <vt:lpwstr>2012.2</vt:lpwstr>
  </property>
  <property fmtid="{D5CDD505-2E9C-101B-9397-08002B2CF9AE}" pid="8" name="PM_Hash_Salt">
    <vt:lpwstr>F6FAD624925B177802E4882241C1C703</vt:lpwstr>
  </property>
  <property fmtid="{D5CDD505-2E9C-101B-9397-08002B2CF9AE}" pid="9" name="PM_Hash_SHA1">
    <vt:lpwstr>2357F2820F0AD0173BFF61FEB517C191212C24A5</vt:lpwstr>
  </property>
</Properties>
</file>